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190" w:rsidRPr="00C15FAE" w:rsidRDefault="00CF1190" w:rsidP="00A2470D">
      <w:pPr>
        <w:pStyle w:val="Titolo1"/>
        <w:spacing w:after="161" w:line="252" w:lineRule="auto"/>
        <w:ind w:left="2792" w:firstLine="0"/>
        <w:jc w:val="both"/>
        <w:rPr>
          <w:b/>
          <w:sz w:val="40"/>
          <w:szCs w:val="40"/>
        </w:rPr>
      </w:pPr>
      <w:r w:rsidRPr="00C15FAE">
        <w:rPr>
          <w:b/>
          <w:sz w:val="40"/>
          <w:szCs w:val="40"/>
        </w:rPr>
        <w:t xml:space="preserve">REGOLAMENTO </w:t>
      </w:r>
      <w:proofErr w:type="gramStart"/>
      <w:r w:rsidRPr="00C15FAE">
        <w:rPr>
          <w:b/>
          <w:sz w:val="40"/>
          <w:szCs w:val="40"/>
        </w:rPr>
        <w:t>GIOCHI  LECITI</w:t>
      </w:r>
      <w:proofErr w:type="gramEnd"/>
      <w:r w:rsidRPr="00C15FAE">
        <w:rPr>
          <w:b/>
          <w:sz w:val="40"/>
          <w:szCs w:val="40"/>
        </w:rPr>
        <w:t xml:space="preserve"> COMUNE DI  BENEVENTO</w:t>
      </w:r>
    </w:p>
    <w:p w:rsidR="00C6420A" w:rsidRDefault="00C6420A">
      <w:pPr>
        <w:pStyle w:val="Titolo1"/>
        <w:spacing w:after="161" w:line="252" w:lineRule="auto"/>
        <w:jc w:val="left"/>
      </w:pPr>
    </w:p>
    <w:p w:rsidR="00A8020D" w:rsidRDefault="00BB22E8">
      <w:pPr>
        <w:pStyle w:val="Titolo1"/>
        <w:spacing w:after="161" w:line="252" w:lineRule="auto"/>
        <w:jc w:val="left"/>
      </w:pPr>
      <w:r>
        <w:t>ART. 1 -FINALITA' E AMBITO Dl APPLICAZIONE</w:t>
      </w:r>
    </w:p>
    <w:p w:rsidR="00A8020D" w:rsidRDefault="00BB22E8" w:rsidP="008F423D">
      <w:pPr>
        <w:numPr>
          <w:ilvl w:val="0"/>
          <w:numId w:val="1"/>
        </w:numPr>
        <w:ind w:left="936" w:right="14" w:hanging="288"/>
      </w:pPr>
      <w:r>
        <w:t>Il Comune di Benevento, con il presente regolamento si p</w:t>
      </w:r>
      <w:r w:rsidR="00C6420A">
        <w:t>refigge l'obiettivo di garantire</w:t>
      </w:r>
      <w:r>
        <w:t xml:space="preserve"> che la diffusione dei locali nei quali si pratica il gioco lecito avvenga senza arrecare danno ai preminenti interessi pubblici di tutela e decoro dell'ambiente urbano, di tutela delle fasce deboli con particolare riferimento a minori ed anziani, consente</w:t>
      </w:r>
      <w:r w:rsidR="00C6420A">
        <w:t xml:space="preserve">ndo </w:t>
      </w:r>
      <w:proofErr w:type="spellStart"/>
      <w:r w:rsidR="00C6420A">
        <w:t>altresi’</w:t>
      </w:r>
      <w:proofErr w:type="spellEnd"/>
      <w:r>
        <w:t xml:space="preserve"> un accesso responsabile al gioco che non p</w:t>
      </w:r>
      <w:r w:rsidR="00C6420A">
        <w:t>orti a Fenomeni di dipendenza (</w:t>
      </w:r>
      <w:proofErr w:type="spellStart"/>
      <w:r>
        <w:t>ludopatia</w:t>
      </w:r>
      <w:proofErr w:type="spellEnd"/>
      <w:r>
        <w:t xml:space="preserve"> o D.G.A).</w:t>
      </w:r>
      <w:r w:rsidR="00C6420A">
        <w:t xml:space="preserve"> </w:t>
      </w:r>
      <w:r>
        <w:t xml:space="preserve">La </w:t>
      </w:r>
      <w:proofErr w:type="spellStart"/>
      <w:r>
        <w:t>ludopatia</w:t>
      </w:r>
      <w:proofErr w:type="spellEnd"/>
      <w:r>
        <w:t xml:space="preserve"> è il fenomeno patologico connesso all'uso d</w:t>
      </w:r>
      <w:r w:rsidR="008F423D">
        <w:t xml:space="preserve">i apparecchiature per il gioco e ad </w:t>
      </w:r>
      <w:proofErr w:type="gramStart"/>
      <w:r w:rsidR="008F423D">
        <w:t>ogni  altra</w:t>
      </w:r>
      <w:proofErr w:type="gramEnd"/>
      <w:r w:rsidR="008F423D">
        <w:t xml:space="preserve"> offerta di gioco in danaro </w:t>
      </w:r>
      <w:r>
        <w:t>alla cui relativa normativa di contrasto il DL n. 158/2012 decr</w:t>
      </w:r>
      <w:r w:rsidR="00894C1E">
        <w:t>eto Balduz</w:t>
      </w:r>
      <w:r>
        <w:t>zi attribuisce la valenza di disciplina della salute pubblica ai sensi dell'art. 32 della Costituzione. Le attività disciplinate da detto regolamento sono tutte quelle riportate all'art.2.</w:t>
      </w:r>
    </w:p>
    <w:p w:rsidR="00A8020D" w:rsidRDefault="00BB22E8">
      <w:pPr>
        <w:numPr>
          <w:ilvl w:val="0"/>
          <w:numId w:val="1"/>
        </w:numPr>
        <w:ind w:left="936" w:right="14" w:hanging="288"/>
      </w:pPr>
      <w:r>
        <w:t xml:space="preserve">Per tali finalità il Comune di Benevento si impegna a regolamentare tali giochi, dando importanza alle distanze degli esercizi autorizzati dai luoghi sensibili: scuole di ogni ordine e grado, luoghi di culto, strutture sanitarie, centri sociali per anziani. centri di aggregazione giovanile, Arco di Traiano, Piazza </w:t>
      </w:r>
      <w:proofErr w:type="spellStart"/>
      <w:proofErr w:type="gramStart"/>
      <w:r>
        <w:t>S.Sofia</w:t>
      </w:r>
      <w:proofErr w:type="spellEnd"/>
      <w:proofErr w:type="gramEnd"/>
      <w:r>
        <w:t>, Teatro Romano, Rocca dei Rettori, biblioteche, sportelli bancari e postali, caserme.</w:t>
      </w:r>
    </w:p>
    <w:p w:rsidR="00A8020D" w:rsidRDefault="00BB22E8">
      <w:pPr>
        <w:numPr>
          <w:ilvl w:val="0"/>
          <w:numId w:val="1"/>
        </w:numPr>
        <w:ind w:left="936" w:right="14" w:hanging="288"/>
      </w:pPr>
      <w:r>
        <w:t xml:space="preserve">Al fine di tutela della salute pubblica, per evitare che la disponibilità immediata di denaro contante costituisca incentivo al gioco, all'interno del locale non possono essere installati sportelli </w:t>
      </w:r>
      <w:proofErr w:type="spellStart"/>
      <w:proofErr w:type="gramStart"/>
      <w:r>
        <w:t>bancari,postali</w:t>
      </w:r>
      <w:proofErr w:type="spellEnd"/>
      <w:proofErr w:type="gramEnd"/>
      <w:r>
        <w:t xml:space="preserve"> o bancomat e non possono essere installati nessun tip</w:t>
      </w:r>
      <w:r w:rsidR="00CC5388">
        <w:t>o di sale giochi nel raggio di 3</w:t>
      </w:r>
      <w:r>
        <w:t xml:space="preserve">00 metri da tali sportelli. </w:t>
      </w:r>
    </w:p>
    <w:p w:rsidR="00A8020D" w:rsidRDefault="00BB22E8">
      <w:pPr>
        <w:numPr>
          <w:ilvl w:val="0"/>
          <w:numId w:val="1"/>
        </w:numPr>
        <w:spacing w:after="45"/>
        <w:ind w:left="936" w:right="14" w:hanging="288"/>
      </w:pPr>
      <w:r>
        <w:t>L'Amministrazione si riserva</w:t>
      </w:r>
      <w:r w:rsidR="00CF1190">
        <w:t xml:space="preserve"> di aderire ad eventuali </w:t>
      </w:r>
      <w:proofErr w:type="spellStart"/>
      <w:r w:rsidR="00CF1190">
        <w:t>inziati</w:t>
      </w:r>
      <w:r>
        <w:t>ve</w:t>
      </w:r>
      <w:proofErr w:type="spellEnd"/>
      <w:r>
        <w:t xml:space="preserve"> della Regione Campania e dell'Osservatorio regionale sulla dipendenza da gioco d'azzardo e di collaborare con altri enti locali, istituzioni scolastiche, aziende sanitarie locali e soggetti del mondo del volontariato, che si occupano di </w:t>
      </w:r>
      <w:proofErr w:type="spellStart"/>
      <w:r>
        <w:t>d.g.a</w:t>
      </w:r>
      <w:proofErr w:type="spellEnd"/>
      <w:r>
        <w:t>.</w:t>
      </w:r>
      <w:r w:rsidR="00C6420A">
        <w:t xml:space="preserve"> (</w:t>
      </w:r>
      <w:r>
        <w:t>disturbo di gioco di azzardo).</w:t>
      </w:r>
      <w:r w:rsidR="00C6420A">
        <w:t xml:space="preserve"> </w:t>
      </w:r>
      <w:r>
        <w:t xml:space="preserve">A tal proposito il Comune di Benevento </w:t>
      </w:r>
      <w:proofErr w:type="spellStart"/>
      <w:r>
        <w:t>istituira'</w:t>
      </w:r>
      <w:proofErr w:type="spellEnd"/>
      <w:r>
        <w:t xml:space="preserve"> anche un punto di ascolto presso il settore Servizi Sociali.</w:t>
      </w:r>
    </w:p>
    <w:p w:rsidR="00A8020D" w:rsidRDefault="00BB22E8">
      <w:pPr>
        <w:numPr>
          <w:ilvl w:val="0"/>
          <w:numId w:val="1"/>
        </w:numPr>
        <w:ind w:left="936" w:right="14" w:hanging="288"/>
      </w:pPr>
      <w:r>
        <w:t>Il presente regolamento disciplina, a nonna dell'art. 19 del D.P.R. n 616/77, degli artt. 86 e 88 del TULPS e del regolamento di esecuzione del TULPS:</w:t>
      </w:r>
    </w:p>
    <w:p w:rsidR="00A8020D" w:rsidRDefault="00BB22E8">
      <w:pPr>
        <w:numPr>
          <w:ilvl w:val="1"/>
          <w:numId w:val="1"/>
        </w:numPr>
        <w:ind w:right="14" w:firstLine="115"/>
      </w:pPr>
      <w:r>
        <w:t xml:space="preserve">la localizzazione e l'esercizio delle </w:t>
      </w:r>
      <w:proofErr w:type="spellStart"/>
      <w:r>
        <w:t>attivita'</w:t>
      </w:r>
      <w:proofErr w:type="spellEnd"/>
      <w:r>
        <w:t xml:space="preserve"> delle sale pubbliche da gioco. di cui all'art. 86 del TULPS,</w:t>
      </w:r>
      <w:r w:rsidR="00C6420A">
        <w:t xml:space="preserve"> </w:t>
      </w:r>
      <w:r>
        <w:t>nonché del relativo regolamento di attuazione;</w:t>
      </w:r>
    </w:p>
    <w:p w:rsidR="00A8020D" w:rsidRDefault="00BB22E8">
      <w:pPr>
        <w:numPr>
          <w:ilvl w:val="1"/>
          <w:numId w:val="1"/>
        </w:numPr>
        <w:ind w:right="14" w:firstLine="115"/>
      </w:pPr>
      <w:r>
        <w:t>l'attività di distribuzione di appar</w:t>
      </w:r>
      <w:r w:rsidR="00CF1190">
        <w:t>ecchi e congegni automatici, semiautomat</w:t>
      </w:r>
      <w:r>
        <w:t>ici ed elettronici di cui ai c</w:t>
      </w:r>
      <w:r w:rsidR="002613DB">
        <w:t>ommi 6 e 7 dell'art. 110 del TU</w:t>
      </w:r>
      <w:r>
        <w:t>LPS e di gestione dei medesimi apparecchi per i giochi consentiti,</w:t>
      </w:r>
    </w:p>
    <w:p w:rsidR="002613DB" w:rsidRDefault="00BB22E8" w:rsidP="002613DB">
      <w:pPr>
        <w:numPr>
          <w:ilvl w:val="1"/>
          <w:numId w:val="1"/>
        </w:numPr>
        <w:spacing w:after="520"/>
        <w:ind w:right="14" w:firstLine="115"/>
      </w:pPr>
      <w:r>
        <w:t>la localizzazione dei punti di raccolta delle scommesse, di cui all'art. 88 del TULPS, in cui siano installati gli apparecchi di cui all'art. 110 comm</w:t>
      </w:r>
      <w:r w:rsidR="00C6420A">
        <w:t>a 6 del TULPS.</w:t>
      </w:r>
    </w:p>
    <w:p w:rsidR="00C6420A" w:rsidRDefault="002613DB" w:rsidP="002613DB">
      <w:pPr>
        <w:numPr>
          <w:ilvl w:val="1"/>
          <w:numId w:val="1"/>
        </w:numPr>
        <w:spacing w:after="520"/>
        <w:ind w:right="14" w:firstLine="115"/>
      </w:pPr>
      <w:r>
        <w:t xml:space="preserve">In </w:t>
      </w:r>
      <w:r w:rsidR="00C6420A">
        <w:t>seguito alla emanazione della legge Regione Campania 2/</w:t>
      </w:r>
      <w:r>
        <w:t>2020,</w:t>
      </w:r>
      <w:r w:rsidR="00C6420A">
        <w:t xml:space="preserve"> </w:t>
      </w:r>
      <w:proofErr w:type="gramStart"/>
      <w:r w:rsidR="00C6420A">
        <w:t>sono  stati</w:t>
      </w:r>
      <w:proofErr w:type="gramEnd"/>
      <w:r w:rsidR="00C6420A">
        <w:t xml:space="preserve">  nettamente separati i profili di ordine e sicurezza pubblica da altri aspetti che riguardano competenze delle </w:t>
      </w:r>
      <w:proofErr w:type="spellStart"/>
      <w:r w:rsidR="00C6420A">
        <w:t>autorita’</w:t>
      </w:r>
      <w:proofErr w:type="spellEnd"/>
      <w:r w:rsidR="00C6420A">
        <w:t xml:space="preserve"> locali</w:t>
      </w:r>
      <w:r>
        <w:t>. Il C</w:t>
      </w:r>
      <w:r w:rsidR="00C6420A">
        <w:t xml:space="preserve">omune in </w:t>
      </w:r>
      <w:proofErr w:type="gramStart"/>
      <w:r w:rsidR="00C6420A">
        <w:t>ogni  caso</w:t>
      </w:r>
      <w:proofErr w:type="gramEnd"/>
      <w:r w:rsidR="00C6420A">
        <w:t>, intende prevenire il gioco patologico, anche attraverso iniziative di informazione e di educazione e vuole valorizzare le forme di aggregazione sociale e di gestione del tem</w:t>
      </w:r>
      <w:r>
        <w:t>p</w:t>
      </w:r>
      <w:r w:rsidR="00C6420A">
        <w:t>o libero che favoriscano la creazione di relazioni pos</w:t>
      </w:r>
      <w:r>
        <w:t xml:space="preserve">itive, la comunicazione e la </w:t>
      </w:r>
      <w:proofErr w:type="spellStart"/>
      <w:r>
        <w:t>cre</w:t>
      </w:r>
      <w:r w:rsidR="00C6420A">
        <w:t>ativita’</w:t>
      </w:r>
      <w:proofErr w:type="spellEnd"/>
      <w:r>
        <w:t>.</w:t>
      </w:r>
    </w:p>
    <w:p w:rsidR="00A8020D" w:rsidRDefault="00BB22E8">
      <w:pPr>
        <w:pStyle w:val="Titolo1"/>
        <w:spacing w:after="216"/>
        <w:ind w:left="1161" w:right="1295"/>
      </w:pPr>
      <w:r>
        <w:t>NORME GENERALI ART. 2 DEFINIZIONI</w:t>
      </w:r>
    </w:p>
    <w:p w:rsidR="00BB3114" w:rsidRDefault="00BB22E8" w:rsidP="00BB3114">
      <w:pPr>
        <w:ind w:left="935" w:right="14"/>
      </w:pPr>
      <w:r>
        <w:t>Ai fini del presente regolamento si intende per:</w:t>
      </w:r>
    </w:p>
    <w:p w:rsidR="00A8020D" w:rsidRDefault="00BB3114" w:rsidP="00BB3114">
      <w:pPr>
        <w:ind w:left="935" w:right="14"/>
      </w:pPr>
      <w:r>
        <w:t xml:space="preserve">a)     </w:t>
      </w:r>
      <w:r w:rsidR="00BB22E8">
        <w:t>TULPS: il Testo Unico delle Leggi di Pubblica Sicurezza, approvalo con</w:t>
      </w:r>
    </w:p>
    <w:p w:rsidR="00A8020D" w:rsidRDefault="00BB3114">
      <w:pPr>
        <w:ind w:left="935" w:right="14"/>
      </w:pPr>
      <w:r>
        <w:t xml:space="preserve">        </w:t>
      </w:r>
      <w:r w:rsidR="00BB22E8">
        <w:t>R.D.de11 8/06/1931 n. 773 e successive modifiche ed integrazioni;</w:t>
      </w:r>
    </w:p>
    <w:p w:rsidR="00A8020D" w:rsidRDefault="00BB22E8">
      <w:pPr>
        <w:numPr>
          <w:ilvl w:val="0"/>
          <w:numId w:val="2"/>
        </w:numPr>
        <w:ind w:right="14" w:firstLine="432"/>
      </w:pPr>
      <w:r>
        <w:t>Regolamento di esecuzione: il R.D. 6 maggio 1940, n 635;</w:t>
      </w:r>
    </w:p>
    <w:p w:rsidR="00A8020D" w:rsidRDefault="00BB22E8">
      <w:pPr>
        <w:numPr>
          <w:ilvl w:val="0"/>
          <w:numId w:val="2"/>
        </w:numPr>
        <w:ind w:right="14" w:firstLine="432"/>
      </w:pPr>
      <w:r>
        <w:t>D.P.R. 160/</w:t>
      </w:r>
      <w:proofErr w:type="gramStart"/>
      <w:r>
        <w:t>2010 :</w:t>
      </w:r>
      <w:proofErr w:type="gramEnd"/>
      <w:r>
        <w:t xml:space="preserve"> il Regolamento per la semplificazione ed il riordino della disciplina sullo sportello unico per le </w:t>
      </w:r>
      <w:proofErr w:type="spellStart"/>
      <w:r>
        <w:t>attivita'</w:t>
      </w:r>
      <w:proofErr w:type="spellEnd"/>
      <w:r>
        <w:t xml:space="preserve"> produttive;</w:t>
      </w:r>
    </w:p>
    <w:p w:rsidR="00A8020D" w:rsidRDefault="00BB22E8">
      <w:pPr>
        <w:numPr>
          <w:ilvl w:val="0"/>
          <w:numId w:val="2"/>
        </w:numPr>
        <w:ind w:right="14" w:firstLine="432"/>
      </w:pPr>
      <w:r>
        <w:t xml:space="preserve">SUAP: lo sportello unico per le </w:t>
      </w:r>
      <w:proofErr w:type="spellStart"/>
      <w:r>
        <w:t>attivita'</w:t>
      </w:r>
      <w:proofErr w:type="spellEnd"/>
      <w:r>
        <w:t xml:space="preserve"> produttive, l'unico punto di accesso per il richiedente in relazione a tutte le vicende amministrative</w:t>
      </w:r>
      <w:r w:rsidR="00CF1190">
        <w:t xml:space="preserve"> riguardanti la sua </w:t>
      </w:r>
      <w:proofErr w:type="spellStart"/>
      <w:r w:rsidR="00CF1190">
        <w:t>attivita'</w:t>
      </w:r>
      <w:proofErr w:type="spellEnd"/>
      <w:r w:rsidR="00CF1190">
        <w:t xml:space="preserve"> produttiva, che fornisce</w:t>
      </w:r>
      <w:r>
        <w:t xml:space="preserve"> una risposta unica e tempestiva in luogo di tutti gli uffici comunali e le pubbliche amministrazioni, comunque coinvolte nel procedimento, ai sensi del decreto del Presidente della Repubblica 7 settembre 201 0, n. 160;</w:t>
      </w:r>
    </w:p>
    <w:p w:rsidR="00A8020D" w:rsidRDefault="00BB22E8">
      <w:pPr>
        <w:numPr>
          <w:ilvl w:val="0"/>
          <w:numId w:val="2"/>
        </w:numPr>
        <w:ind w:right="14" w:firstLine="432"/>
      </w:pPr>
      <w:r>
        <w:t xml:space="preserve">Sale Pubbliche da Gioco, chiamate convenzionalmente "sale giochi": il locale o </w:t>
      </w:r>
      <w:proofErr w:type="spellStart"/>
      <w:r>
        <w:t>piu'</w:t>
      </w:r>
      <w:proofErr w:type="spellEnd"/>
      <w:r>
        <w:t xml:space="preserve"> locali funzionalmente collegati, allestiti specificamente per lo svolgimento del gioco lecito e dotati di apparecchi da divertimento e intrattenimento automatici od elettronici, oltre ad eventuali altri apparecchi quali, ad esempio, biliardi, biliardini, flipper o </w:t>
      </w:r>
      <w:proofErr w:type="spellStart"/>
      <w:r>
        <w:t>o</w:t>
      </w:r>
      <w:proofErr w:type="spellEnd"/>
      <w:r>
        <w:t xml:space="preserve"> juke-box, </w:t>
      </w:r>
      <w:proofErr w:type="spellStart"/>
      <w:r>
        <w:t>cosi'</w:t>
      </w:r>
      <w:proofErr w:type="spellEnd"/>
      <w:r>
        <w:t xml:space="preserve"> come definiti dall'art. I IO del TULPS;</w:t>
      </w:r>
    </w:p>
    <w:p w:rsidR="00A8020D" w:rsidRDefault="00BB22E8">
      <w:pPr>
        <w:ind w:left="446" w:right="14" w:firstLine="417"/>
      </w:pPr>
      <w:r>
        <w:t xml:space="preserve">t) </w:t>
      </w:r>
      <w:r w:rsidR="00B91AD8">
        <w:t xml:space="preserve">  </w:t>
      </w:r>
      <w:r>
        <w:t>Superficie utile del locale: l'area fisicamente delimitata, a cui ha</w:t>
      </w:r>
      <w:r w:rsidR="00CF1190">
        <w:t xml:space="preserve"> accesso un pubblico indistinto. </w:t>
      </w:r>
      <w:r>
        <w:t>Non costituisce superficie utile l'area destinata a magazzini, depositi, uffici e servizi e altre aree comunque non aperte al pubblico;</w:t>
      </w:r>
    </w:p>
    <w:p w:rsidR="00A8020D" w:rsidRDefault="00BB22E8">
      <w:pPr>
        <w:numPr>
          <w:ilvl w:val="0"/>
          <w:numId w:val="3"/>
        </w:numPr>
        <w:ind w:right="7" w:firstLine="511"/>
        <w:jc w:val="left"/>
      </w:pPr>
      <w:r>
        <w:t>Tabella dei giochi proibiti: la tabella, predisposta e approvata dal Questore e vidimata dal SUAP, che elenca, oltre ai giochi d'azzardo, anche quelli che il Questore ritenga di viet</w:t>
      </w:r>
      <w:r w:rsidR="00B91AD8">
        <w:t xml:space="preserve">are nel pubblico interesse, </w:t>
      </w:r>
      <w:proofErr w:type="spellStart"/>
      <w:r w:rsidR="00B91AD8">
        <w:t>nonc</w:t>
      </w:r>
      <w:r>
        <w:t>he</w:t>
      </w:r>
      <w:proofErr w:type="spellEnd"/>
      <w:r>
        <w:t>' le prescrizioni c i divieti che ritenga di disporre;</w:t>
      </w:r>
    </w:p>
    <w:p w:rsidR="00A8020D" w:rsidRDefault="00BB22E8">
      <w:pPr>
        <w:numPr>
          <w:ilvl w:val="0"/>
          <w:numId w:val="3"/>
        </w:numPr>
        <w:spacing w:after="0" w:line="252" w:lineRule="auto"/>
        <w:ind w:right="7" w:firstLine="511"/>
        <w:jc w:val="left"/>
      </w:pPr>
      <w:r>
        <w:rPr>
          <w:sz w:val="26"/>
        </w:rPr>
        <w:t xml:space="preserve">Apparecchi di cui all'art. 110, c.6 </w:t>
      </w:r>
      <w:proofErr w:type="spellStart"/>
      <w:proofErr w:type="gramStart"/>
      <w:r>
        <w:rPr>
          <w:sz w:val="26"/>
        </w:rPr>
        <w:t>lett.a</w:t>
      </w:r>
      <w:proofErr w:type="spellEnd"/>
      <w:proofErr w:type="gramEnd"/>
      <w:r>
        <w:rPr>
          <w:sz w:val="26"/>
        </w:rPr>
        <w:t>) del TULPS, denominati "AWP" o "NEWSLOT", quelli dotati delle seguenti caratteristiche:</w:t>
      </w:r>
    </w:p>
    <w:p w:rsidR="00A8020D" w:rsidRDefault="00BB22E8">
      <w:pPr>
        <w:ind w:left="935" w:right="14"/>
      </w:pPr>
      <w:r>
        <w:t xml:space="preserve">-insieme con l'elemento aleatorio (dettato del caso) sono presenti anche elementi di </w:t>
      </w:r>
      <w:proofErr w:type="spellStart"/>
      <w:r>
        <w:t>abilita'</w:t>
      </w:r>
      <w:proofErr w:type="spellEnd"/>
      <w:r>
        <w:t xml:space="preserve"> che consentono al giocatore la </w:t>
      </w:r>
      <w:proofErr w:type="spellStart"/>
      <w:r>
        <w:t>possibilita'</w:t>
      </w:r>
      <w:proofErr w:type="spellEnd"/>
      <w:r>
        <w:t xml:space="preserve"> di scegliere, </w:t>
      </w:r>
      <w:r w:rsidR="00CF1190">
        <w:t>all'avvio o nel corso della parti</w:t>
      </w:r>
      <w:r>
        <w:t xml:space="preserve">ta. la propria strategia, selezionando appositamente le </w:t>
      </w:r>
      <w:r w:rsidR="00CF1190">
        <w:t xml:space="preserve">opzioni di gara ritenute </w:t>
      </w:r>
      <w:proofErr w:type="spellStart"/>
      <w:r w:rsidR="00CF1190">
        <w:t>piu'</w:t>
      </w:r>
      <w:proofErr w:type="spellEnd"/>
      <w:r w:rsidR="00CF1190">
        <w:t xml:space="preserve"> favorevoli </w:t>
      </w:r>
      <w:r>
        <w:t>tra quelle proposte dal gioco;</w:t>
      </w:r>
    </w:p>
    <w:p w:rsidR="00A8020D" w:rsidRDefault="00BB22E8">
      <w:pPr>
        <w:ind w:left="935" w:right="14"/>
      </w:pPr>
      <w:r>
        <w:t xml:space="preserve">-ciascun apparecchio di gioco </w:t>
      </w:r>
      <w:proofErr w:type="spellStart"/>
      <w:r>
        <w:t>puo'</w:t>
      </w:r>
      <w:proofErr w:type="spellEnd"/>
      <w:r>
        <w:t xml:space="preserve"> funzionare se collega</w:t>
      </w:r>
      <w:r w:rsidR="00003A54">
        <w:t>to alla rete telemat</w:t>
      </w:r>
      <w:r>
        <w:t>ica di AAMS, si attiva con l'introduzione di moneta e prevede un costo, per partita, non superiore a 1 euro;</w:t>
      </w:r>
    </w:p>
    <w:p w:rsidR="00A8020D" w:rsidRDefault="00BB22E8">
      <w:pPr>
        <w:ind w:left="935" w:right="14"/>
      </w:pPr>
      <w:r>
        <w:t xml:space="preserve">-la durata della partita non </w:t>
      </w:r>
      <w:proofErr w:type="spellStart"/>
      <w:r>
        <w:t>puo'</w:t>
      </w:r>
      <w:proofErr w:type="spellEnd"/>
      <w:r>
        <w:t xml:space="preserve"> essere inferiore a 4 secondi;</w:t>
      </w:r>
    </w:p>
    <w:p w:rsidR="00A8020D" w:rsidRDefault="00BB22E8">
      <w:pPr>
        <w:ind w:left="935" w:right="14"/>
      </w:pPr>
      <w:r>
        <w:t>-la distribuzione delle vincite in denaro, ciascuna di valore non superiore a 100,00 euro, avviene subito dopo la conclusione della partita esclusivamente in monete;</w:t>
      </w:r>
    </w:p>
    <w:p w:rsidR="00A8020D" w:rsidRDefault="00BB22E8">
      <w:pPr>
        <w:ind w:left="935" w:right="14"/>
      </w:pPr>
      <w:r>
        <w:t xml:space="preserve">-le vincite, computate dall'apparecchio, in modo non predeterminabile. su un ciclo complessivo di non </w:t>
      </w:r>
      <w:proofErr w:type="spellStart"/>
      <w:r>
        <w:t>piu'</w:t>
      </w:r>
      <w:proofErr w:type="spellEnd"/>
      <w:r>
        <w:t xml:space="preserve"> di 140.000 partite, non devono risultare inferiori al 75% delle somme giocate;</w:t>
      </w:r>
    </w:p>
    <w:p w:rsidR="00A8020D" w:rsidRDefault="00BB22E8">
      <w:pPr>
        <w:ind w:left="935" w:right="14"/>
      </w:pPr>
      <w:r>
        <w:t>-l'uso di tali apparecchi è vietato ai minori di 18 anni;</w:t>
      </w:r>
    </w:p>
    <w:p w:rsidR="00A8020D" w:rsidRDefault="00BB22E8">
      <w:pPr>
        <w:ind w:left="935" w:right="14"/>
      </w:pPr>
      <w:r>
        <w:t>-non possono riprodurre il gioco del poker o, comunque, anche in parte, le sue regole fondamentali;</w:t>
      </w:r>
    </w:p>
    <w:p w:rsidR="00A8020D" w:rsidRDefault="00BB22E8">
      <w:pPr>
        <w:ind w:left="935" w:right="14"/>
      </w:pPr>
      <w:r>
        <w:t>-non possono accettare banconote;</w:t>
      </w:r>
    </w:p>
    <w:p w:rsidR="00A8020D" w:rsidRDefault="00BB22E8">
      <w:pPr>
        <w:ind w:left="935" w:right="14"/>
      </w:pPr>
      <w:r>
        <w:t xml:space="preserve">-devono avere necessariamente applicato, in originale, il nullaosta di esercizio e di </w:t>
      </w:r>
      <w:proofErr w:type="gramStart"/>
      <w:r>
        <w:t>distribuzione ,</w:t>
      </w:r>
      <w:proofErr w:type="gramEnd"/>
    </w:p>
    <w:p w:rsidR="00A8020D" w:rsidRDefault="00BB22E8">
      <w:pPr>
        <w:ind w:left="935" w:right="14"/>
      </w:pPr>
      <w:r>
        <w:t xml:space="preserve">-devono necessariamente essere collegati alla rete telematica dell'Agen7ia delle Dogane e dei Monopoli, </w:t>
      </w:r>
      <w:proofErr w:type="spellStart"/>
      <w:r>
        <w:t>gia'</w:t>
      </w:r>
      <w:proofErr w:type="spellEnd"/>
      <w:r>
        <w:t xml:space="preserve"> Amministrazione Autonoma dei Monopoli di Stato</w:t>
      </w:r>
      <w:r w:rsidR="002400CF">
        <w:t xml:space="preserve"> </w:t>
      </w:r>
      <w:r>
        <w:t>(AAMS).</w:t>
      </w:r>
    </w:p>
    <w:p w:rsidR="00A8020D" w:rsidRDefault="00BB22E8">
      <w:pPr>
        <w:ind w:left="302" w:right="14" w:firstLine="432"/>
      </w:pPr>
      <w:r>
        <w:rPr>
          <w:noProof/>
        </w:rPr>
        <w:drawing>
          <wp:anchor distT="0" distB="0" distL="114300" distR="114300" simplePos="0" relativeHeight="251658240" behindDoc="0" locked="0" layoutInCell="1" allowOverlap="0">
            <wp:simplePos x="0" y="0"/>
            <wp:positionH relativeFrom="column">
              <wp:posOffset>191882</wp:posOffset>
            </wp:positionH>
            <wp:positionV relativeFrom="paragraph">
              <wp:posOffset>163202</wp:posOffset>
            </wp:positionV>
            <wp:extent cx="18274" cy="18280"/>
            <wp:effectExtent l="0" t="0" r="0" b="0"/>
            <wp:wrapSquare wrapText="bothSides"/>
            <wp:docPr id="6390" name="Picture 6390"/>
            <wp:cNvGraphicFramePr/>
            <a:graphic xmlns:a="http://schemas.openxmlformats.org/drawingml/2006/main">
              <a:graphicData uri="http://schemas.openxmlformats.org/drawingml/2006/picture">
                <pic:pic xmlns:pic="http://schemas.openxmlformats.org/drawingml/2006/picture">
                  <pic:nvPicPr>
                    <pic:cNvPr id="6390" name="Picture 6390"/>
                    <pic:cNvPicPr/>
                  </pic:nvPicPr>
                  <pic:blipFill>
                    <a:blip r:embed="rId5"/>
                    <a:stretch>
                      <a:fillRect/>
                    </a:stretch>
                  </pic:blipFill>
                  <pic:spPr>
                    <a:xfrm>
                      <a:off x="0" y="0"/>
                      <a:ext cx="18274" cy="18280"/>
                    </a:xfrm>
                    <a:prstGeom prst="rect">
                      <a:avLst/>
                    </a:prstGeom>
                  </pic:spPr>
                </pic:pic>
              </a:graphicData>
            </a:graphic>
          </wp:anchor>
        </w:drawing>
      </w:r>
      <w:r>
        <w:t xml:space="preserve">i) Apparecchi di cui </w:t>
      </w:r>
      <w:proofErr w:type="gramStart"/>
      <w:r>
        <w:t>all'</w:t>
      </w:r>
      <w:proofErr w:type="spellStart"/>
      <w:r>
        <w:t>art.l</w:t>
      </w:r>
      <w:proofErr w:type="spellEnd"/>
      <w:proofErr w:type="gramEnd"/>
      <w:r>
        <w:t xml:space="preserve">, comma 6 </w:t>
      </w:r>
      <w:proofErr w:type="spellStart"/>
      <w:r>
        <w:t>lett</w:t>
      </w:r>
      <w:proofErr w:type="spellEnd"/>
      <w:r>
        <w:t xml:space="preserve">. b) del TULPS, denominati WT ( Video </w:t>
      </w:r>
      <w:proofErr w:type="spellStart"/>
      <w:r>
        <w:t>Lot</w:t>
      </w:r>
      <w:r w:rsidR="00BB3114">
        <w:t>tery</w:t>
      </w:r>
      <w:proofErr w:type="spellEnd"/>
      <w:r w:rsidR="00BB3114">
        <w:t xml:space="preserve"> Terminal): quelli il cui fu</w:t>
      </w:r>
      <w:r>
        <w:t>nzionamento è possibile solo in presenza di un collegamento in tempo rea</w:t>
      </w:r>
      <w:r w:rsidR="00BB3114">
        <w:t>le al sistema centrale di gioco</w:t>
      </w:r>
      <w:r>
        <w:t xml:space="preserve"> e</w:t>
      </w:r>
      <w:r w:rsidR="00CF1190">
        <w:t xml:space="preserve"> caratter</w:t>
      </w:r>
      <w:r w:rsidR="00003A54">
        <w:t>izzati</w:t>
      </w:r>
      <w:r w:rsidR="00CF1190">
        <w:t xml:space="preserve">, rispetto alle </w:t>
      </w:r>
      <w:proofErr w:type="spellStart"/>
      <w:r w:rsidR="00CF1190">
        <w:t>Ne</w:t>
      </w:r>
      <w:r>
        <w:t>wslot</w:t>
      </w:r>
      <w:proofErr w:type="spellEnd"/>
      <w:r>
        <w:t xml:space="preserve"> da una offerta multipla di gioco e da </w:t>
      </w:r>
      <w:proofErr w:type="spellStart"/>
      <w:r>
        <w:t>possibilita'</w:t>
      </w:r>
      <w:proofErr w:type="spellEnd"/>
      <w:r>
        <w:t xml:space="preserve"> di vincite </w:t>
      </w:r>
      <w:proofErr w:type="spellStart"/>
      <w:r>
        <w:t>piu'</w:t>
      </w:r>
      <w:proofErr w:type="spellEnd"/>
      <w:r>
        <w:t xml:space="preserve"> elevate, a fronte di un costo per giocata anch'esso </w:t>
      </w:r>
      <w:proofErr w:type="spellStart"/>
      <w:r>
        <w:t>piu'</w:t>
      </w:r>
      <w:proofErr w:type="spellEnd"/>
      <w:r>
        <w:t xml:space="preserve"> elevato. Nelle VLT infatti, qualunque tipo di gioco è trasmesso da un concessionario, l'unico a detenere il titolo </w:t>
      </w:r>
      <w:proofErr w:type="spellStart"/>
      <w:r>
        <w:t>autorizzatorio</w:t>
      </w:r>
      <w:proofErr w:type="spellEnd"/>
      <w:r>
        <w:t>: le tematiche non sono solo quelle da Slot Machine ma anche quelle tipiche dei "giochi da casinò", come Poker, Roulette, Black Jack, Bingo.</w:t>
      </w:r>
    </w:p>
    <w:p w:rsidR="00A8020D" w:rsidRDefault="00BB22E8">
      <w:pPr>
        <w:spacing w:after="56"/>
        <w:ind w:left="935" w:right="14"/>
      </w:pPr>
      <w:r>
        <w:t>Le caratteristiche delle VLT sono le seguenti:</w:t>
      </w:r>
    </w:p>
    <w:p w:rsidR="00A8020D" w:rsidRDefault="00CF1190">
      <w:pPr>
        <w:numPr>
          <w:ilvl w:val="0"/>
          <w:numId w:val="4"/>
        </w:numPr>
        <w:spacing w:after="63"/>
        <w:ind w:right="14" w:hanging="360"/>
      </w:pPr>
      <w:r>
        <w:t>Il costo ma</w:t>
      </w:r>
      <w:r w:rsidR="00BB22E8">
        <w:t xml:space="preserve">ssimo della singola partita è pari a €10.00, con una posta minima di gioco di e il pagamento può avvenire tramite: monete e/o banconote, tecnologie basate su sistemi di ticket, carte prepagate, conti di gioco nominativi, utilizzabili attraverso </w:t>
      </w:r>
      <w:proofErr w:type="spellStart"/>
      <w:r w:rsidR="00BB22E8">
        <w:t>sm</w:t>
      </w:r>
      <w:r>
        <w:t>a</w:t>
      </w:r>
      <w:r w:rsidR="00BB22E8">
        <w:t>rt</w:t>
      </w:r>
      <w:proofErr w:type="spellEnd"/>
      <w:r w:rsidR="00BB22E8">
        <w:t xml:space="preserve"> card;</w:t>
      </w:r>
    </w:p>
    <w:p w:rsidR="00BB3114" w:rsidRDefault="00BB22E8" w:rsidP="00BB3114">
      <w:pPr>
        <w:numPr>
          <w:ilvl w:val="0"/>
          <w:numId w:val="4"/>
        </w:numPr>
        <w:ind w:right="14" w:hanging="360"/>
      </w:pPr>
      <w:r>
        <w:t>La ricollocazione in gioco dei crediti precedentemente vinti;</w:t>
      </w:r>
    </w:p>
    <w:p w:rsidR="00A8020D" w:rsidRDefault="00BB22E8" w:rsidP="00BB3114">
      <w:pPr>
        <w:numPr>
          <w:ilvl w:val="0"/>
          <w:numId w:val="4"/>
        </w:numPr>
        <w:ind w:right="14" w:hanging="360"/>
      </w:pPr>
      <w:r>
        <w:t>La percentuale delle somme giocate destinate alle vincite, con riferimento a ciascun gioco offerto, non può essere inferiore all'85%;</w:t>
      </w:r>
    </w:p>
    <w:p w:rsidR="00A8020D" w:rsidRDefault="00BB22E8">
      <w:pPr>
        <w:numPr>
          <w:ilvl w:val="0"/>
          <w:numId w:val="5"/>
        </w:numPr>
        <w:ind w:right="14" w:hanging="374"/>
      </w:pPr>
      <w:r>
        <w:t>La vincita massima consentita, ad esclusione del jackpot, per ciascuna partita è pari a e 5.000,00;</w:t>
      </w:r>
    </w:p>
    <w:p w:rsidR="00A8020D" w:rsidRDefault="00BB22E8">
      <w:pPr>
        <w:numPr>
          <w:ilvl w:val="0"/>
          <w:numId w:val="5"/>
        </w:numPr>
        <w:ind w:right="14" w:hanging="374"/>
      </w:pPr>
      <w:r>
        <w:t>L'importo massimo del jackpot relativo a ciascuna sala giochi è pari a € 100.000,</w:t>
      </w:r>
      <w:proofErr w:type="gramStart"/>
      <w:r>
        <w:t>00 ;</w:t>
      </w:r>
      <w:proofErr w:type="gramEnd"/>
    </w:p>
    <w:p w:rsidR="00A8020D" w:rsidRDefault="00BB22E8">
      <w:pPr>
        <w:numPr>
          <w:ilvl w:val="0"/>
          <w:numId w:val="5"/>
        </w:numPr>
        <w:spacing w:after="74"/>
        <w:ind w:right="14" w:hanging="374"/>
      </w:pPr>
      <w:r>
        <w:t>L'importo massimo del jac</w:t>
      </w:r>
      <w:r w:rsidR="00003A54">
        <w:t>k</w:t>
      </w:r>
      <w:r>
        <w:t>pot relativo a ciascun sistema di gioco è pari a € 500.000,00;</w:t>
      </w:r>
    </w:p>
    <w:p w:rsidR="00A8020D" w:rsidRDefault="00BB22E8">
      <w:pPr>
        <w:numPr>
          <w:ilvl w:val="0"/>
          <w:numId w:val="5"/>
        </w:numPr>
        <w:spacing w:after="41"/>
        <w:ind w:right="14" w:hanging="374"/>
      </w:pPr>
      <w:r>
        <w:t>Gli apparecchi videoterminali possono essere installati nelle sale con attività prevalente di gioco come sale bingo, agenzie per l'esercizio delle scommesse, negozi di gioco, sale pubbliche da gioco</w:t>
      </w:r>
      <w:r w:rsidR="00003A54">
        <w:t xml:space="preserve"> (</w:t>
      </w:r>
      <w:r>
        <w:t>prevedendo un'area separata per i giochi riservati ai minori</w:t>
      </w:r>
      <w:r w:rsidR="00003A54">
        <w:t>) e negli esercizi dediti esclu</w:t>
      </w:r>
      <w:r>
        <w:t>sivamente al gioco con apparecchi di cui all'art. 1 IO, comma 6 del TIJLPS,</w:t>
      </w:r>
    </w:p>
    <w:p w:rsidR="00A8020D" w:rsidRDefault="00BB22E8">
      <w:pPr>
        <w:numPr>
          <w:ilvl w:val="0"/>
          <w:numId w:val="5"/>
        </w:numPr>
        <w:ind w:right="14" w:hanging="374"/>
      </w:pPr>
      <w:r>
        <w:t>Ai fini dell'esercizio della raccolta di gioco nelle sale giochi, costituisce requisito ind</w:t>
      </w:r>
      <w:r w:rsidR="00003A54">
        <w:t>ispensabile il possesso, da part</w:t>
      </w:r>
      <w:r>
        <w:t>e dei titolari delle sale stesse, della licenza di cui all'art.88 del I'CLPS;</w:t>
      </w:r>
    </w:p>
    <w:p w:rsidR="00A8020D" w:rsidRDefault="00BB22E8">
      <w:pPr>
        <w:ind w:left="1482" w:right="14" w:hanging="360"/>
      </w:pPr>
      <w:r>
        <w:rPr>
          <w:noProof/>
        </w:rPr>
        <w:drawing>
          <wp:inline distT="0" distB="0" distL="0" distR="0">
            <wp:extent cx="73098" cy="109676"/>
            <wp:effectExtent l="0" t="0" r="0" b="0"/>
            <wp:docPr id="38036" name="Picture 38036"/>
            <wp:cNvGraphicFramePr/>
            <a:graphic xmlns:a="http://schemas.openxmlformats.org/drawingml/2006/main">
              <a:graphicData uri="http://schemas.openxmlformats.org/drawingml/2006/picture">
                <pic:pic xmlns:pic="http://schemas.openxmlformats.org/drawingml/2006/picture">
                  <pic:nvPicPr>
                    <pic:cNvPr id="38036" name="Picture 38036"/>
                    <pic:cNvPicPr/>
                  </pic:nvPicPr>
                  <pic:blipFill>
                    <a:blip r:embed="rId6"/>
                    <a:stretch>
                      <a:fillRect/>
                    </a:stretch>
                  </pic:blipFill>
                  <pic:spPr>
                    <a:xfrm>
                      <a:off x="0" y="0"/>
                      <a:ext cx="73098" cy="109676"/>
                    </a:xfrm>
                    <a:prstGeom prst="rect">
                      <a:avLst/>
                    </a:prstGeom>
                  </pic:spPr>
                </pic:pic>
              </a:graphicData>
            </a:graphic>
          </wp:inline>
        </w:drawing>
      </w:r>
      <w:r>
        <w:t xml:space="preserve"> Le sale devono essere obbligatoriamente dotate di sistemi di videosorveglianza a circuito chiuso;</w:t>
      </w:r>
    </w:p>
    <w:p w:rsidR="00A8020D" w:rsidRDefault="00BB22E8">
      <w:pPr>
        <w:ind w:left="1094" w:right="14"/>
      </w:pPr>
      <w:r>
        <w:rPr>
          <w:noProof/>
        </w:rPr>
        <w:drawing>
          <wp:inline distT="0" distB="0" distL="0" distR="0">
            <wp:extent cx="82235" cy="137095"/>
            <wp:effectExtent l="0" t="0" r="0" b="0"/>
            <wp:docPr id="38038" name="Picture 38038"/>
            <wp:cNvGraphicFramePr/>
            <a:graphic xmlns:a="http://schemas.openxmlformats.org/drawingml/2006/main">
              <a:graphicData uri="http://schemas.openxmlformats.org/drawingml/2006/picture">
                <pic:pic xmlns:pic="http://schemas.openxmlformats.org/drawingml/2006/picture">
                  <pic:nvPicPr>
                    <pic:cNvPr id="38038" name="Picture 38038"/>
                    <pic:cNvPicPr/>
                  </pic:nvPicPr>
                  <pic:blipFill>
                    <a:blip r:embed="rId7"/>
                    <a:stretch>
                      <a:fillRect/>
                    </a:stretch>
                  </pic:blipFill>
                  <pic:spPr>
                    <a:xfrm>
                      <a:off x="0" y="0"/>
                      <a:ext cx="82235" cy="137095"/>
                    </a:xfrm>
                    <a:prstGeom prst="rect">
                      <a:avLst/>
                    </a:prstGeom>
                  </pic:spPr>
                </pic:pic>
              </a:graphicData>
            </a:graphic>
          </wp:inline>
        </w:drawing>
      </w:r>
      <w:r>
        <w:t xml:space="preserve"> Fatto espresso divieto di installazione nei pubblici esercizi e in particolare nei bar;</w:t>
      </w:r>
    </w:p>
    <w:p w:rsidR="00A8020D" w:rsidRDefault="00BB22E8">
      <w:pPr>
        <w:spacing w:after="44"/>
        <w:ind w:left="1122" w:right="14"/>
      </w:pPr>
      <w:r>
        <w:t xml:space="preserve">k. Possibile la loro installazione in un locale attiguo ovvero in un unico locale suddiviso nella parte dedicata ai giochi e nella parte riservata alla somministrazione nella misura in cui quest'ultima sia solo un'attività accessoria della prima; </w:t>
      </w:r>
      <w:r>
        <w:rPr>
          <w:noProof/>
        </w:rPr>
        <w:drawing>
          <wp:inline distT="0" distB="0" distL="0" distR="0">
            <wp:extent cx="63961" cy="109676"/>
            <wp:effectExtent l="0" t="0" r="0" b="0"/>
            <wp:docPr id="38040" name="Picture 38040"/>
            <wp:cNvGraphicFramePr/>
            <a:graphic xmlns:a="http://schemas.openxmlformats.org/drawingml/2006/main">
              <a:graphicData uri="http://schemas.openxmlformats.org/drawingml/2006/picture">
                <pic:pic xmlns:pic="http://schemas.openxmlformats.org/drawingml/2006/picture">
                  <pic:nvPicPr>
                    <pic:cNvPr id="38040" name="Picture 38040"/>
                    <pic:cNvPicPr/>
                  </pic:nvPicPr>
                  <pic:blipFill>
                    <a:blip r:embed="rId8"/>
                    <a:stretch>
                      <a:fillRect/>
                    </a:stretch>
                  </pic:blipFill>
                  <pic:spPr>
                    <a:xfrm>
                      <a:off x="0" y="0"/>
                      <a:ext cx="63961" cy="109676"/>
                    </a:xfrm>
                    <a:prstGeom prst="rect">
                      <a:avLst/>
                    </a:prstGeom>
                  </pic:spPr>
                </pic:pic>
              </a:graphicData>
            </a:graphic>
          </wp:inline>
        </w:drawing>
      </w:r>
      <w:r>
        <w:t>Fatto divieto di utilizzo per i minori di anni 18.</w:t>
      </w:r>
    </w:p>
    <w:p w:rsidR="00A8020D" w:rsidRDefault="00BB22E8">
      <w:pPr>
        <w:ind w:left="921" w:right="14" w:hanging="432"/>
      </w:pPr>
      <w:r>
        <w:t xml:space="preserve">j) Apparecchi di cui all'art. 110 comma 7 </w:t>
      </w:r>
      <w:proofErr w:type="spellStart"/>
      <w:r>
        <w:t>lett</w:t>
      </w:r>
      <w:proofErr w:type="spellEnd"/>
      <w:r>
        <w:t>. a) del TULPS: quelli elettromeccanici privi di monitor attraverso i quali il giocatore esprime la sua abilità mentale o strategica, attivabili unicamente con l'introduzione di monete metalliche del valore di 1€, che distribuiscono direttamente e immediatamente dopo la conclusione della partita, premi di diversa specie. In tal caso il valore complessivo di ogni premio non è superiore a venti volte il costo della partita. Detti apparecchi non possono riprodurre il gioco del poker o comunque anche in parte, le sue regole fondamentali. Deve essere esposto il nullaosta e il relativo codice Identificativo su supporto cartaceo e protetto contro la distruzione;</w:t>
      </w:r>
    </w:p>
    <w:p w:rsidR="00A8020D" w:rsidRDefault="00BB22E8">
      <w:pPr>
        <w:ind w:left="935" w:right="14" w:firstLine="130"/>
      </w:pPr>
      <w:r>
        <w:t>Apparecchi di cui all'a</w:t>
      </w:r>
      <w:r w:rsidR="002613DB">
        <w:t xml:space="preserve">rt. 110 comma 7 </w:t>
      </w:r>
      <w:proofErr w:type="spellStart"/>
      <w:r w:rsidR="002613DB">
        <w:t>lett</w:t>
      </w:r>
      <w:proofErr w:type="spellEnd"/>
      <w:r w:rsidR="002613DB">
        <w:t>. c) del TU</w:t>
      </w:r>
      <w:r>
        <w:t>LPS: quelli, basati sulla sola abilità mentale o strategica. che non distribuiscono premi per i quali la durata della partita può variare in relazione all'abilità del giocatore e il costo della singola partita può essere superiore a centesimi di euro; detti apparecchi non possono riprodurre il gioco del poker o, comunque anche ln parte. le sue regole fondamentali;</w:t>
      </w:r>
    </w:p>
    <w:p w:rsidR="002613DB" w:rsidRDefault="00BB22E8" w:rsidP="002613DB">
      <w:pPr>
        <w:spacing w:after="1621"/>
        <w:ind w:left="906" w:right="14" w:hanging="345"/>
      </w:pPr>
      <w:r>
        <w:t xml:space="preserve">l) Apparecchi per il gioco d'azzardo: si considerano apparecchi e congegni automatici, semiautomatici </w:t>
      </w:r>
      <w:r w:rsidR="002613DB">
        <w:t>ed elettronici per il gioco d'az</w:t>
      </w:r>
      <w:r>
        <w:t>zardo quelli che hanno insita la scommessa o che consentono vincite pur</w:t>
      </w:r>
      <w:r w:rsidR="002613DB">
        <w:t>amente aleatorie di qualsiasi pre</w:t>
      </w:r>
      <w:r>
        <w:t>mio in denaro o vincite di valore superiore ai limiti fissati al comma 6 dell'art. 110 del TULPS, escluse le macchine vidimatrici per i giochi gestiti dallo Stato. L'installazione e l'uso di apparecchi e congegni automatici, semiautomatici cd elettronici per il gioco d'azzardo sono vietati nei luoghi pubblici o aperti al pubblico e nei circoli e associazioni di q</w:t>
      </w:r>
      <w:r w:rsidR="002613DB">
        <w:t>ualunque specie</w:t>
      </w:r>
      <w:r w:rsidR="002400CF">
        <w:t>.</w:t>
      </w:r>
    </w:p>
    <w:p w:rsidR="00A8020D" w:rsidRDefault="00BB22E8" w:rsidP="002613DB">
      <w:pPr>
        <w:spacing w:after="1621"/>
        <w:ind w:left="906" w:right="14" w:hanging="345"/>
      </w:pPr>
      <w:r>
        <w:t>ART. 3 - NORMATIVE Dl RIFERIMENTO</w:t>
      </w:r>
    </w:p>
    <w:p w:rsidR="00A8020D" w:rsidRDefault="00BB22E8">
      <w:pPr>
        <w:ind w:left="950" w:right="14" w:hanging="331"/>
      </w:pPr>
      <w:r>
        <w:rPr>
          <w:noProof/>
        </w:rPr>
        <w:drawing>
          <wp:inline distT="0" distB="0" distL="0" distR="0">
            <wp:extent cx="82235" cy="109675"/>
            <wp:effectExtent l="0" t="0" r="0" b="0"/>
            <wp:docPr id="38042" name="Picture 38042"/>
            <wp:cNvGraphicFramePr/>
            <a:graphic xmlns:a="http://schemas.openxmlformats.org/drawingml/2006/main">
              <a:graphicData uri="http://schemas.openxmlformats.org/drawingml/2006/picture">
                <pic:pic xmlns:pic="http://schemas.openxmlformats.org/drawingml/2006/picture">
                  <pic:nvPicPr>
                    <pic:cNvPr id="38042" name="Picture 38042"/>
                    <pic:cNvPicPr/>
                  </pic:nvPicPr>
                  <pic:blipFill>
                    <a:blip r:embed="rId9"/>
                    <a:stretch>
                      <a:fillRect/>
                    </a:stretch>
                  </pic:blipFill>
                  <pic:spPr>
                    <a:xfrm>
                      <a:off x="0" y="0"/>
                      <a:ext cx="82235" cy="109675"/>
                    </a:xfrm>
                    <a:prstGeom prst="rect">
                      <a:avLst/>
                    </a:prstGeom>
                  </pic:spPr>
                </pic:pic>
              </a:graphicData>
            </a:graphic>
          </wp:inline>
        </w:drawing>
      </w:r>
      <w:r>
        <w:t>Reggio decreto del 18.06.1931 n 773 di seguito TULPS, e successive modifiche ed integrazioni in particolare gli articoli 86-88-110;</w:t>
      </w:r>
    </w:p>
    <w:p w:rsidR="00A8020D" w:rsidRDefault="00BB22E8">
      <w:pPr>
        <w:ind w:left="676" w:right="14"/>
      </w:pPr>
      <w:r>
        <w:t>2. Regolamento di esecuzione del TIJLPS approvalo con R.D. n. 635/194;</w:t>
      </w:r>
    </w:p>
    <w:p w:rsidR="00A8020D" w:rsidRDefault="00BB22E8">
      <w:pPr>
        <w:spacing w:after="64"/>
        <w:ind w:left="1036" w:right="14" w:hanging="360"/>
      </w:pPr>
      <w:r>
        <w:rPr>
          <w:noProof/>
        </w:rPr>
        <w:drawing>
          <wp:inline distT="0" distB="0" distL="0" distR="0">
            <wp:extent cx="100510" cy="109676"/>
            <wp:effectExtent l="0" t="0" r="0" b="0"/>
            <wp:docPr id="38050" name="Picture 38050"/>
            <wp:cNvGraphicFramePr/>
            <a:graphic xmlns:a="http://schemas.openxmlformats.org/drawingml/2006/main">
              <a:graphicData uri="http://schemas.openxmlformats.org/drawingml/2006/picture">
                <pic:pic xmlns:pic="http://schemas.openxmlformats.org/drawingml/2006/picture">
                  <pic:nvPicPr>
                    <pic:cNvPr id="38050" name="Picture 38050"/>
                    <pic:cNvPicPr/>
                  </pic:nvPicPr>
                  <pic:blipFill>
                    <a:blip r:embed="rId10"/>
                    <a:stretch>
                      <a:fillRect/>
                    </a:stretch>
                  </pic:blipFill>
                  <pic:spPr>
                    <a:xfrm>
                      <a:off x="0" y="0"/>
                      <a:ext cx="100510" cy="109676"/>
                    </a:xfrm>
                    <a:prstGeom prst="rect">
                      <a:avLst/>
                    </a:prstGeom>
                  </pic:spPr>
                </pic:pic>
              </a:graphicData>
            </a:graphic>
          </wp:inline>
        </w:drawing>
      </w:r>
      <w:r>
        <w:t>Art. 110 del TULPS commi 6 e 7 riguardanti gli apparecchi e congegni idonei per il gioco lecito.</w:t>
      </w:r>
    </w:p>
    <w:p w:rsidR="00A8020D" w:rsidRDefault="00BB22E8">
      <w:pPr>
        <w:ind w:left="662" w:right="14"/>
      </w:pPr>
      <w:r>
        <w:t>4. D.P.R. n 160/2010 regolamento sportello unico per le attività produttive-SUAP-</w:t>
      </w:r>
    </w:p>
    <w:p w:rsidR="00A8020D" w:rsidRDefault="00BB22E8">
      <w:pPr>
        <w:ind w:left="676" w:right="14"/>
      </w:pPr>
      <w:r>
        <w:rPr>
          <w:noProof/>
        </w:rPr>
        <w:drawing>
          <wp:inline distT="0" distB="0" distL="0" distR="0">
            <wp:extent cx="100510" cy="109676"/>
            <wp:effectExtent l="0" t="0" r="0" b="0"/>
            <wp:docPr id="38052" name="Picture 38052"/>
            <wp:cNvGraphicFramePr/>
            <a:graphic xmlns:a="http://schemas.openxmlformats.org/drawingml/2006/main">
              <a:graphicData uri="http://schemas.openxmlformats.org/drawingml/2006/picture">
                <pic:pic xmlns:pic="http://schemas.openxmlformats.org/drawingml/2006/picture">
                  <pic:nvPicPr>
                    <pic:cNvPr id="38052" name="Picture 38052"/>
                    <pic:cNvPicPr/>
                  </pic:nvPicPr>
                  <pic:blipFill>
                    <a:blip r:embed="rId11"/>
                    <a:stretch>
                      <a:fillRect/>
                    </a:stretch>
                  </pic:blipFill>
                  <pic:spPr>
                    <a:xfrm>
                      <a:off x="0" y="0"/>
                      <a:ext cx="100510" cy="109676"/>
                    </a:xfrm>
                    <a:prstGeom prst="rect">
                      <a:avLst/>
                    </a:prstGeom>
                  </pic:spPr>
                </pic:pic>
              </a:graphicData>
            </a:graphic>
          </wp:inline>
        </w:drawing>
      </w:r>
      <w:r w:rsidR="002613DB">
        <w:t xml:space="preserve">D.L. n. 158/2012 </w:t>
      </w:r>
      <w:r>
        <w:t>Decreto Balduzzi-</w:t>
      </w:r>
    </w:p>
    <w:p w:rsidR="00A8020D" w:rsidRDefault="00BB22E8">
      <w:pPr>
        <w:numPr>
          <w:ilvl w:val="0"/>
          <w:numId w:val="6"/>
        </w:numPr>
        <w:ind w:right="14"/>
      </w:pPr>
      <w:r>
        <w:t xml:space="preserve">Art. 67 del D. </w:t>
      </w:r>
      <w:proofErr w:type="spellStart"/>
      <w:r>
        <w:t>Les</w:t>
      </w:r>
      <w:proofErr w:type="spellEnd"/>
      <w:r>
        <w:t>. n .159/201 1- Codice delle leggi antimafia-</w:t>
      </w:r>
    </w:p>
    <w:p w:rsidR="00A8020D" w:rsidRDefault="00BB22E8">
      <w:pPr>
        <w:numPr>
          <w:ilvl w:val="0"/>
          <w:numId w:val="6"/>
        </w:numPr>
        <w:ind w:right="14"/>
      </w:pPr>
      <w:r>
        <w:t>Art. 19 della legge 241/90- segnalazione certificata inizio attività-</w:t>
      </w:r>
    </w:p>
    <w:p w:rsidR="00A8020D" w:rsidRDefault="00BB22E8">
      <w:pPr>
        <w:numPr>
          <w:ilvl w:val="0"/>
          <w:numId w:val="6"/>
        </w:numPr>
        <w:ind w:right="14"/>
      </w:pPr>
      <w:r>
        <w:t>Artt. n. 1 1 e n. 92 del TULPS — possesso dei requisiti morali del titolare dell'attività</w:t>
      </w:r>
      <w:r>
        <w:rPr>
          <w:noProof/>
        </w:rPr>
        <w:drawing>
          <wp:inline distT="0" distB="0" distL="0" distR="0">
            <wp:extent cx="36548" cy="9140"/>
            <wp:effectExtent l="0" t="0" r="0" b="0"/>
            <wp:docPr id="12334" name="Picture 12334"/>
            <wp:cNvGraphicFramePr/>
            <a:graphic xmlns:a="http://schemas.openxmlformats.org/drawingml/2006/main">
              <a:graphicData uri="http://schemas.openxmlformats.org/drawingml/2006/picture">
                <pic:pic xmlns:pic="http://schemas.openxmlformats.org/drawingml/2006/picture">
                  <pic:nvPicPr>
                    <pic:cNvPr id="12334" name="Picture 12334"/>
                    <pic:cNvPicPr/>
                  </pic:nvPicPr>
                  <pic:blipFill>
                    <a:blip r:embed="rId12"/>
                    <a:stretch>
                      <a:fillRect/>
                    </a:stretch>
                  </pic:blipFill>
                  <pic:spPr>
                    <a:xfrm>
                      <a:off x="0" y="0"/>
                      <a:ext cx="36548" cy="9140"/>
                    </a:xfrm>
                    <a:prstGeom prst="rect">
                      <a:avLst/>
                    </a:prstGeom>
                  </pic:spPr>
                </pic:pic>
              </a:graphicData>
            </a:graphic>
          </wp:inline>
        </w:drawing>
      </w:r>
    </w:p>
    <w:p w:rsidR="00A8020D" w:rsidRDefault="00BB22E8">
      <w:pPr>
        <w:numPr>
          <w:ilvl w:val="0"/>
          <w:numId w:val="6"/>
        </w:numPr>
        <w:ind w:right="14"/>
      </w:pPr>
      <w:r>
        <w:t xml:space="preserve">D. </w:t>
      </w:r>
      <w:proofErr w:type="spellStart"/>
      <w:r>
        <w:t>Lgs</w:t>
      </w:r>
      <w:proofErr w:type="spellEnd"/>
      <w:r>
        <w:t>. n. 42/2004 —Codice dei beni culturali e del paesaggio. D.P.R.</w:t>
      </w:r>
      <w:r w:rsidR="002613DB">
        <w:t xml:space="preserve"> n. 227/201 1 </w:t>
      </w:r>
      <w:r>
        <w:t>impatto acustico-</w:t>
      </w:r>
    </w:p>
    <w:p w:rsidR="00A8020D" w:rsidRDefault="00BB22E8">
      <w:pPr>
        <w:ind w:left="676" w:right="14"/>
      </w:pPr>
      <w:r>
        <w:rPr>
          <w:noProof/>
        </w:rPr>
        <w:drawing>
          <wp:inline distT="0" distB="0" distL="0" distR="0">
            <wp:extent cx="36549" cy="109676"/>
            <wp:effectExtent l="0" t="0" r="0" b="0"/>
            <wp:docPr id="12335" name="Picture 12335"/>
            <wp:cNvGraphicFramePr/>
            <a:graphic xmlns:a="http://schemas.openxmlformats.org/drawingml/2006/main">
              <a:graphicData uri="http://schemas.openxmlformats.org/drawingml/2006/picture">
                <pic:pic xmlns:pic="http://schemas.openxmlformats.org/drawingml/2006/picture">
                  <pic:nvPicPr>
                    <pic:cNvPr id="12335" name="Picture 12335"/>
                    <pic:cNvPicPr/>
                  </pic:nvPicPr>
                  <pic:blipFill>
                    <a:blip r:embed="rId13"/>
                    <a:stretch>
                      <a:fillRect/>
                    </a:stretch>
                  </pic:blipFill>
                  <pic:spPr>
                    <a:xfrm>
                      <a:off x="0" y="0"/>
                      <a:ext cx="36549" cy="109676"/>
                    </a:xfrm>
                    <a:prstGeom prst="rect">
                      <a:avLst/>
                    </a:prstGeom>
                  </pic:spPr>
                </pic:pic>
              </a:graphicData>
            </a:graphic>
          </wp:inline>
        </w:drawing>
      </w:r>
      <w:r>
        <w:t xml:space="preserve"> 1 Legge 9 agosto 2018 n. 96 -decreto dignità- normativa nazionale in materia-</w:t>
      </w:r>
    </w:p>
    <w:p w:rsidR="002613DB" w:rsidRDefault="00BB22E8" w:rsidP="002613DB">
      <w:pPr>
        <w:spacing w:after="1676"/>
        <w:ind w:left="676" w:right="14"/>
      </w:pPr>
      <w:r>
        <w:t xml:space="preserve">12. Legge Regionale n. </w:t>
      </w:r>
      <w:r w:rsidR="002613DB">
        <w:t>2</w:t>
      </w:r>
      <w:r>
        <w:t xml:space="preserve"> del 20</w:t>
      </w:r>
      <w:r w:rsidR="002613DB">
        <w:t xml:space="preserve">20 </w:t>
      </w:r>
    </w:p>
    <w:p w:rsidR="00A8020D" w:rsidRDefault="00BB22E8">
      <w:pPr>
        <w:pStyle w:val="Titolo1"/>
        <w:spacing w:after="529" w:line="252" w:lineRule="auto"/>
        <w:ind w:left="1578"/>
        <w:jc w:val="left"/>
      </w:pPr>
      <w:r>
        <w:t>ART.4 SALE GIOCHI -ADEMPIMENTI AMMINISTRATIVI</w:t>
      </w:r>
    </w:p>
    <w:p w:rsidR="00A8020D" w:rsidRDefault="00BB22E8">
      <w:pPr>
        <w:ind w:left="935" w:right="14"/>
      </w:pPr>
      <w:r>
        <w:t>L'apertura, il trasferimento di sede e la modifica di superficie di una sala giochi comporta la verifica della conformità dei locali, destinati all'esercizio dell'attività, alle vigenti norme, prescrizioni ed autorizzazioni in materia edilizia, urbanistica, igienico-sanitaria, di sorveglianza e di prevenzione incendi. alle prescrizioni del presente regolamento nonché alle norme sulla destinazione d'uso dei locali e degli edifici, e di tutte le altre norme che disciplinano la materia in argomento.</w:t>
      </w:r>
    </w:p>
    <w:p w:rsidR="00A8020D" w:rsidRDefault="00BB22E8">
      <w:pPr>
        <w:ind w:left="590" w:right="14" w:firstLine="345"/>
      </w:pPr>
      <w:r>
        <w:t>Sono soggetti a rilascio di autorizzazione unica ai sensi dell'art. 7 del D.P.R. 160/2010: l'apertura di un nuovo esercizio dell'attività;</w:t>
      </w:r>
    </w:p>
    <w:p w:rsidR="00A8020D" w:rsidRDefault="002613DB">
      <w:pPr>
        <w:numPr>
          <w:ilvl w:val="0"/>
          <w:numId w:val="7"/>
        </w:numPr>
        <w:ind w:right="14" w:hanging="475"/>
      </w:pPr>
      <w:r>
        <w:t>il trasfe</w:t>
      </w:r>
      <w:r w:rsidR="00BB22E8">
        <w:t>rimento di sede dell'esercizio già autorizzato;</w:t>
      </w:r>
    </w:p>
    <w:p w:rsidR="00A8020D" w:rsidRDefault="00BB22E8">
      <w:pPr>
        <w:numPr>
          <w:ilvl w:val="0"/>
          <w:numId w:val="7"/>
        </w:numPr>
        <w:ind w:right="14" w:hanging="475"/>
      </w:pPr>
      <w:r>
        <w:t>la modifica di superficie di un esercizio già autorizzato.</w:t>
      </w:r>
    </w:p>
    <w:p w:rsidR="00A8020D" w:rsidRDefault="00BB22E8">
      <w:pPr>
        <w:spacing w:after="15" w:line="252" w:lineRule="auto"/>
        <w:ind w:left="921" w:firstLine="58"/>
        <w:jc w:val="left"/>
      </w:pPr>
      <w:r>
        <w:rPr>
          <w:sz w:val="26"/>
        </w:rPr>
        <w:t>Sono soggetti a segnalazione certificata di inizio attività- SCIA, ai sensi dell'art. 19 della legge 241/90:</w:t>
      </w:r>
    </w:p>
    <w:p w:rsidR="00A8020D" w:rsidRDefault="00BB22E8">
      <w:pPr>
        <w:ind w:left="576" w:right="14"/>
      </w:pPr>
      <w:r>
        <w:rPr>
          <w:noProof/>
        </w:rPr>
        <w:drawing>
          <wp:inline distT="0" distB="0" distL="0" distR="0">
            <wp:extent cx="91373" cy="109676"/>
            <wp:effectExtent l="0" t="0" r="0" b="0"/>
            <wp:docPr id="38056" name="Picture 38056"/>
            <wp:cNvGraphicFramePr/>
            <a:graphic xmlns:a="http://schemas.openxmlformats.org/drawingml/2006/main">
              <a:graphicData uri="http://schemas.openxmlformats.org/drawingml/2006/picture">
                <pic:pic xmlns:pic="http://schemas.openxmlformats.org/drawingml/2006/picture">
                  <pic:nvPicPr>
                    <pic:cNvPr id="38056" name="Picture 38056"/>
                    <pic:cNvPicPr/>
                  </pic:nvPicPr>
                  <pic:blipFill>
                    <a:blip r:embed="rId14"/>
                    <a:stretch>
                      <a:fillRect/>
                    </a:stretch>
                  </pic:blipFill>
                  <pic:spPr>
                    <a:xfrm>
                      <a:off x="0" y="0"/>
                      <a:ext cx="91373" cy="109676"/>
                    </a:xfrm>
                    <a:prstGeom prst="rect">
                      <a:avLst/>
                    </a:prstGeom>
                  </pic:spPr>
                </pic:pic>
              </a:graphicData>
            </a:graphic>
          </wp:inline>
        </w:drawing>
      </w:r>
      <w:r>
        <w:t xml:space="preserve">il subingresso nella gestione o nella titolarità dell'esercizio </w:t>
      </w:r>
      <w:proofErr w:type="spellStart"/>
      <w:r>
        <w:t>dell'attivita</w:t>
      </w:r>
      <w:r w:rsidR="002613DB">
        <w:t>’</w:t>
      </w:r>
      <w:proofErr w:type="spellEnd"/>
      <w:r>
        <w:t>;</w:t>
      </w:r>
    </w:p>
    <w:p w:rsidR="00A8020D" w:rsidRDefault="00BB22E8">
      <w:pPr>
        <w:ind w:left="547" w:right="14"/>
      </w:pPr>
      <w:r>
        <w:t>2. per l'installazione di apparecchi da gioco in esercizi diversi da quelli autorizzati ai sensi degli arti. 86 e 88 del TULPS; Semplice comunicazione: nel caso di variazione del legale rappresentante;</w:t>
      </w:r>
    </w:p>
    <w:p w:rsidR="00A8020D" w:rsidRDefault="00BB22E8">
      <w:pPr>
        <w:numPr>
          <w:ilvl w:val="0"/>
          <w:numId w:val="8"/>
        </w:numPr>
        <w:ind w:right="14" w:hanging="532"/>
      </w:pPr>
      <w:r>
        <w:t xml:space="preserve">cessazione </w:t>
      </w:r>
      <w:proofErr w:type="spellStart"/>
      <w:r>
        <w:t>dell</w:t>
      </w:r>
      <w:proofErr w:type="spellEnd"/>
      <w:r>
        <w:t xml:space="preserve"> 'esercizio;</w:t>
      </w:r>
    </w:p>
    <w:p w:rsidR="00A8020D" w:rsidRDefault="00BB22E8">
      <w:pPr>
        <w:numPr>
          <w:ilvl w:val="0"/>
          <w:numId w:val="8"/>
        </w:numPr>
        <w:spacing w:after="1072"/>
        <w:ind w:right="14" w:hanging="532"/>
      </w:pPr>
      <w:r>
        <w:t>per l'installazione di apparecchi da gioco in esercizi già autorizzati ai sensi degli artt. 86 e 88 del TULPS.</w:t>
      </w:r>
    </w:p>
    <w:p w:rsidR="00A8020D" w:rsidRDefault="00BB22E8">
      <w:pPr>
        <w:pStyle w:val="Titolo1"/>
        <w:spacing w:after="197" w:line="252" w:lineRule="auto"/>
        <w:ind w:left="1377"/>
        <w:jc w:val="left"/>
      </w:pPr>
      <w:r>
        <w:t>ART. 5 - REQUISITI MORALI ED OBBLIGHI DEL TITOLARE</w:t>
      </w:r>
    </w:p>
    <w:p w:rsidR="00A8020D" w:rsidRDefault="00BB22E8">
      <w:pPr>
        <w:spacing w:after="0" w:line="221" w:lineRule="auto"/>
        <w:ind w:left="878" w:hanging="317"/>
        <w:jc w:val="left"/>
      </w:pPr>
      <w:r>
        <w:rPr>
          <w:noProof/>
        </w:rPr>
        <w:drawing>
          <wp:inline distT="0" distB="0" distL="0" distR="0">
            <wp:extent cx="82235" cy="100536"/>
            <wp:effectExtent l="0" t="0" r="0" b="0"/>
            <wp:docPr id="38060" name="Picture 38060"/>
            <wp:cNvGraphicFramePr/>
            <a:graphic xmlns:a="http://schemas.openxmlformats.org/drawingml/2006/main">
              <a:graphicData uri="http://schemas.openxmlformats.org/drawingml/2006/picture">
                <pic:pic xmlns:pic="http://schemas.openxmlformats.org/drawingml/2006/picture">
                  <pic:nvPicPr>
                    <pic:cNvPr id="38060" name="Picture 38060"/>
                    <pic:cNvPicPr/>
                  </pic:nvPicPr>
                  <pic:blipFill>
                    <a:blip r:embed="rId15"/>
                    <a:stretch>
                      <a:fillRect/>
                    </a:stretch>
                  </pic:blipFill>
                  <pic:spPr>
                    <a:xfrm>
                      <a:off x="0" y="0"/>
                      <a:ext cx="82235" cy="100536"/>
                    </a:xfrm>
                    <a:prstGeom prst="rect">
                      <a:avLst/>
                    </a:prstGeom>
                  </pic:spPr>
                </pic:pic>
              </a:graphicData>
            </a:graphic>
          </wp:inline>
        </w:drawing>
      </w:r>
      <w:r w:rsidR="002613DB">
        <w:t xml:space="preserve"> </w:t>
      </w:r>
      <w:r>
        <w:t>Il ti</w:t>
      </w:r>
      <w:r w:rsidR="00643E27">
        <w:t>tolare dell'impresa individuale</w:t>
      </w:r>
      <w:r>
        <w:t xml:space="preserve"> ovvero il legale rappresentante della società</w:t>
      </w:r>
      <w:r w:rsidR="002613DB">
        <w:t xml:space="preserve"> di persone o di capitali, che i</w:t>
      </w:r>
      <w:r>
        <w:t>ntendano gestire una delle attività di cui al presente regolamento, devono possedere, i requisiti morali previsti dagli ar</w:t>
      </w:r>
      <w:r w:rsidR="00643E27">
        <w:t>ticoli 1l e</w:t>
      </w:r>
      <w:r>
        <w:t xml:space="preserve"> 92 del TULPS.</w:t>
      </w:r>
    </w:p>
    <w:p w:rsidR="00A8020D" w:rsidRDefault="00BB22E8">
      <w:pPr>
        <w:numPr>
          <w:ilvl w:val="0"/>
          <w:numId w:val="9"/>
        </w:numPr>
        <w:spacing w:after="49"/>
        <w:ind w:left="979" w:right="14" w:hanging="360"/>
      </w:pPr>
      <w:r>
        <w:t xml:space="preserve">Il titolare della sala giochi </w:t>
      </w:r>
      <w:proofErr w:type="spellStart"/>
      <w:r>
        <w:t>puo'</w:t>
      </w:r>
      <w:proofErr w:type="spellEnd"/>
      <w:r>
        <w:t xml:space="preserve"> condurre l'esercizio mediante uno o più rappresentanti, ai sensi degli artt. 8 c 93 del TULPS. Questi devono essere in possesso degli stessi requisiti soggettivi morali prescritti per il titolare.</w:t>
      </w:r>
    </w:p>
    <w:p w:rsidR="00A8020D" w:rsidRDefault="00BB22E8">
      <w:pPr>
        <w:numPr>
          <w:ilvl w:val="0"/>
          <w:numId w:val="9"/>
        </w:numPr>
        <w:ind w:left="979" w:right="14" w:hanging="360"/>
      </w:pPr>
      <w:r>
        <w:t xml:space="preserve">Nei confronti di tutti i soggetti indicati nell'art.67 del </w:t>
      </w:r>
      <w:proofErr w:type="spellStart"/>
      <w:proofErr w:type="gramStart"/>
      <w:r>
        <w:t>D.Lgs</w:t>
      </w:r>
      <w:proofErr w:type="gramEnd"/>
      <w:r>
        <w:t>.</w:t>
      </w:r>
      <w:proofErr w:type="spellEnd"/>
      <w:r>
        <w:t xml:space="preserve"> 159/201 1 (Codice delle leggi antimafia) non devono sussistere cause di divieto, decadenza o sospensione di cui al predetto Codice.</w:t>
      </w:r>
    </w:p>
    <w:p w:rsidR="00A8020D" w:rsidRDefault="00BB22E8">
      <w:pPr>
        <w:numPr>
          <w:ilvl w:val="0"/>
          <w:numId w:val="9"/>
        </w:numPr>
        <w:ind w:left="979" w:right="14" w:hanging="360"/>
      </w:pPr>
      <w:r>
        <w:t>Il titolare ha l'obbligo di tenere esposto in luogo ben visibile al pubblico:</w:t>
      </w:r>
    </w:p>
    <w:p w:rsidR="00A8020D" w:rsidRDefault="00BB22E8">
      <w:pPr>
        <w:numPr>
          <w:ilvl w:val="1"/>
          <w:numId w:val="9"/>
        </w:numPr>
        <w:ind w:right="14" w:hanging="374"/>
      </w:pPr>
      <w:r>
        <w:t>l'autorizzazione all'esercizio;</w:t>
      </w:r>
    </w:p>
    <w:p w:rsidR="00A8020D" w:rsidRDefault="00BB22E8">
      <w:pPr>
        <w:numPr>
          <w:ilvl w:val="1"/>
          <w:numId w:val="9"/>
        </w:numPr>
        <w:ind w:right="14" w:hanging="374"/>
      </w:pPr>
      <w:r>
        <w:t>la vigente tabella dei giochi proibiti della Questura, vidimata dal Sindaco o da un suo delegato;</w:t>
      </w:r>
    </w:p>
    <w:p w:rsidR="00A8020D" w:rsidRDefault="00BB22E8">
      <w:pPr>
        <w:numPr>
          <w:ilvl w:val="1"/>
          <w:numId w:val="9"/>
        </w:numPr>
        <w:ind w:right="14" w:hanging="374"/>
      </w:pPr>
      <w:r>
        <w:t>il regolamento di ciascun gioco;</w:t>
      </w:r>
    </w:p>
    <w:p w:rsidR="00A8020D" w:rsidRDefault="00BB22E8">
      <w:pPr>
        <w:numPr>
          <w:ilvl w:val="1"/>
          <w:numId w:val="9"/>
        </w:numPr>
        <w:spacing w:after="61"/>
        <w:ind w:right="14" w:hanging="374"/>
      </w:pPr>
      <w:r>
        <w:t xml:space="preserve">all'esterno e all'interno dei locali, il cartello degli orari di apertura e chiusura </w:t>
      </w:r>
      <w:proofErr w:type="spellStart"/>
      <w:r>
        <w:t>dell</w:t>
      </w:r>
      <w:proofErr w:type="spellEnd"/>
      <w:r>
        <w:t xml:space="preserve"> 'esercizio;</w:t>
      </w:r>
    </w:p>
    <w:p w:rsidR="00A8020D" w:rsidRDefault="00BB22E8">
      <w:pPr>
        <w:numPr>
          <w:ilvl w:val="0"/>
          <w:numId w:val="9"/>
        </w:numPr>
        <w:spacing w:after="37"/>
        <w:ind w:left="979" w:right="14" w:hanging="360"/>
      </w:pPr>
      <w:r>
        <w:t xml:space="preserve">E' inoltre obbligato a vietare l'uso degli apparecchi di cui al comma 6 dell'art. 1 IO del </w:t>
      </w:r>
      <w:r>
        <w:rPr>
          <w:noProof/>
        </w:rPr>
        <w:drawing>
          <wp:inline distT="0" distB="0" distL="0" distR="0">
            <wp:extent cx="9137" cy="9140"/>
            <wp:effectExtent l="0" t="0" r="0" b="0"/>
            <wp:docPr id="15373" name="Picture 15373"/>
            <wp:cNvGraphicFramePr/>
            <a:graphic xmlns:a="http://schemas.openxmlformats.org/drawingml/2006/main">
              <a:graphicData uri="http://schemas.openxmlformats.org/drawingml/2006/picture">
                <pic:pic xmlns:pic="http://schemas.openxmlformats.org/drawingml/2006/picture">
                  <pic:nvPicPr>
                    <pic:cNvPr id="15373" name="Picture 15373"/>
                    <pic:cNvPicPr/>
                  </pic:nvPicPr>
                  <pic:blipFill>
                    <a:blip r:embed="rId16"/>
                    <a:stretch>
                      <a:fillRect/>
                    </a:stretch>
                  </pic:blipFill>
                  <pic:spPr>
                    <a:xfrm>
                      <a:off x="0" y="0"/>
                      <a:ext cx="9137" cy="9140"/>
                    </a:xfrm>
                    <a:prstGeom prst="rect">
                      <a:avLst/>
                    </a:prstGeom>
                  </pic:spPr>
                </pic:pic>
              </a:graphicData>
            </a:graphic>
          </wp:inline>
        </w:drawing>
      </w:r>
      <w:r>
        <w:t>l'ULPS ai minori di anni 14 e quelli di cui al comma 7 dell'art. 110 del TCLPS ai minori di anni 18.</w:t>
      </w:r>
    </w:p>
    <w:p w:rsidR="00A8020D" w:rsidRDefault="00BB22E8">
      <w:pPr>
        <w:numPr>
          <w:ilvl w:val="0"/>
          <w:numId w:val="9"/>
        </w:numPr>
        <w:spacing w:after="567"/>
        <w:ind w:left="979" w:right="14" w:hanging="360"/>
      </w:pPr>
      <w:r>
        <w:t>Gli apparecchi di cui all'art. 1 10 comma 6 del TULPS devono essere collocati in aree separate rispetto a quelli di tipologie diverse installati nel locale.</w:t>
      </w:r>
    </w:p>
    <w:p w:rsidR="00595A92" w:rsidRDefault="00595A92" w:rsidP="00595A92">
      <w:pPr>
        <w:numPr>
          <w:ilvl w:val="0"/>
          <w:numId w:val="9"/>
        </w:numPr>
        <w:spacing w:after="567"/>
        <w:ind w:left="979" w:right="14" w:hanging="360"/>
      </w:pPr>
      <w:r>
        <w:t>E’ fatto obbligo per il titolare dell’esercizio di non esibire cartelli recanti la scritta “</w:t>
      </w:r>
      <w:r w:rsidRPr="00595A92">
        <w:rPr>
          <w:i/>
        </w:rPr>
        <w:t xml:space="preserve">in questo locale </w:t>
      </w:r>
      <w:proofErr w:type="gramStart"/>
      <w:r w:rsidRPr="00595A92">
        <w:rPr>
          <w:i/>
        </w:rPr>
        <w:t>sono  stati</w:t>
      </w:r>
      <w:proofErr w:type="gramEnd"/>
      <w:r w:rsidRPr="00595A92">
        <w:rPr>
          <w:i/>
        </w:rPr>
        <w:t xml:space="preserve"> vinti</w:t>
      </w:r>
      <w:r>
        <w:rPr>
          <w:i/>
        </w:rPr>
        <w:t>,</w:t>
      </w:r>
      <w:r w:rsidRPr="00595A92">
        <w:rPr>
          <w:i/>
        </w:rPr>
        <w:t xml:space="preserve">  </w:t>
      </w:r>
      <w:proofErr w:type="spellStart"/>
      <w:r w:rsidRPr="00595A92">
        <w:rPr>
          <w:i/>
        </w:rPr>
        <w:t>etc</w:t>
      </w:r>
      <w:proofErr w:type="spellEnd"/>
      <w:r>
        <w:t>…” per non rappresentare un incentivo psicologico per gli avventori ad investire cifre consistenti</w:t>
      </w:r>
    </w:p>
    <w:p w:rsidR="00A8020D" w:rsidRDefault="00BB22E8">
      <w:pPr>
        <w:pStyle w:val="Titolo1"/>
        <w:ind w:left="1161" w:right="619"/>
      </w:pPr>
      <w:r>
        <w:t>ART. 6 - REQUISITI DE' LOCALI</w:t>
      </w:r>
    </w:p>
    <w:p w:rsidR="00A8020D" w:rsidRDefault="00BB22E8">
      <w:pPr>
        <w:spacing w:after="46"/>
        <w:ind w:left="1021" w:right="14" w:hanging="417"/>
      </w:pPr>
      <w:r>
        <w:rPr>
          <w:noProof/>
        </w:rPr>
        <w:drawing>
          <wp:inline distT="0" distB="0" distL="0" distR="0">
            <wp:extent cx="91372" cy="109676"/>
            <wp:effectExtent l="0" t="0" r="0" b="0"/>
            <wp:docPr id="38063" name="Picture 38063"/>
            <wp:cNvGraphicFramePr/>
            <a:graphic xmlns:a="http://schemas.openxmlformats.org/drawingml/2006/main">
              <a:graphicData uri="http://schemas.openxmlformats.org/drawingml/2006/picture">
                <pic:pic xmlns:pic="http://schemas.openxmlformats.org/drawingml/2006/picture">
                  <pic:nvPicPr>
                    <pic:cNvPr id="38063" name="Picture 38063"/>
                    <pic:cNvPicPr/>
                  </pic:nvPicPr>
                  <pic:blipFill>
                    <a:blip r:embed="rId17"/>
                    <a:stretch>
                      <a:fillRect/>
                    </a:stretch>
                  </pic:blipFill>
                  <pic:spPr>
                    <a:xfrm>
                      <a:off x="0" y="0"/>
                      <a:ext cx="91372" cy="109676"/>
                    </a:xfrm>
                    <a:prstGeom prst="rect">
                      <a:avLst/>
                    </a:prstGeom>
                  </pic:spPr>
                </pic:pic>
              </a:graphicData>
            </a:graphic>
          </wp:inline>
        </w:drawing>
      </w:r>
      <w:r>
        <w:t xml:space="preserve">Non è consentito l'insediamento delle attività di sala giochi in edifici, o parte di essi, notificati o vincolati ai sensi del </w:t>
      </w:r>
      <w:proofErr w:type="spellStart"/>
      <w:proofErr w:type="gramStart"/>
      <w:r>
        <w:t>D.Lgs</w:t>
      </w:r>
      <w:proofErr w:type="gramEnd"/>
      <w:r>
        <w:t>.</w:t>
      </w:r>
      <w:proofErr w:type="spellEnd"/>
      <w:r>
        <w:t xml:space="preserve"> 42/2004 </w:t>
      </w:r>
      <w:proofErr w:type="gramStart"/>
      <w:r>
        <w:t>( Codice</w:t>
      </w:r>
      <w:proofErr w:type="gramEnd"/>
      <w:r>
        <w:t xml:space="preserve"> dei beni culturali e del paesaggio ), senza il preventivo ottenimento del relativo nulla osta o titolo abilitativo.</w:t>
      </w:r>
    </w:p>
    <w:p w:rsidR="00A8020D" w:rsidRDefault="00BB22E8">
      <w:pPr>
        <w:spacing w:after="47"/>
        <w:ind w:left="1022" w:right="14" w:hanging="446"/>
      </w:pPr>
      <w:r>
        <w:t>2. I locali destinati all'attività di cui al presente articolo devono possedere i seguenti requisiti di carattere tecnico:</w:t>
      </w:r>
    </w:p>
    <w:p w:rsidR="00A8020D" w:rsidRDefault="00BB22E8">
      <w:pPr>
        <w:numPr>
          <w:ilvl w:val="0"/>
          <w:numId w:val="10"/>
        </w:numPr>
        <w:ind w:right="14" w:hanging="374"/>
      </w:pPr>
      <w:r>
        <w:t>compat</w:t>
      </w:r>
      <w:r w:rsidR="004516EB">
        <w:t xml:space="preserve">ibilità </w:t>
      </w:r>
      <w:proofErr w:type="spellStart"/>
      <w:r w:rsidR="004516EB">
        <w:t>dell</w:t>
      </w:r>
      <w:proofErr w:type="spellEnd"/>
      <w:r w:rsidR="004516EB">
        <w:t xml:space="preserve"> 'esercizio al P.U.</w:t>
      </w:r>
      <w:r>
        <w:t xml:space="preserve">C. vigente, </w:t>
      </w:r>
      <w:proofErr w:type="spellStart"/>
      <w:r>
        <w:t>conformita</w:t>
      </w:r>
      <w:r w:rsidR="00595A92">
        <w:t>’</w:t>
      </w:r>
      <w:proofErr w:type="spellEnd"/>
      <w:r>
        <w:t xml:space="preserve"> urbanistica e destinazione d'uso commerciale o terziaria</w:t>
      </w:r>
      <w:r w:rsidR="00595A92">
        <w:t xml:space="preserve"> dei locali sede operativa dell</w:t>
      </w:r>
      <w:r>
        <w:t>'attività;</w:t>
      </w:r>
    </w:p>
    <w:p w:rsidR="00A8020D" w:rsidRDefault="00BB22E8">
      <w:pPr>
        <w:numPr>
          <w:ilvl w:val="0"/>
          <w:numId w:val="10"/>
        </w:numPr>
        <w:ind w:right="14" w:hanging="374"/>
      </w:pPr>
      <w:r>
        <w:t>collocazione dei locali a piano terra;</w:t>
      </w:r>
    </w:p>
    <w:p w:rsidR="00A8020D" w:rsidRDefault="00BB22E8">
      <w:pPr>
        <w:numPr>
          <w:ilvl w:val="0"/>
          <w:numId w:val="10"/>
        </w:numPr>
        <w:ind w:right="14" w:hanging="374"/>
      </w:pPr>
      <w:r>
        <w:t>rispetto dei requisiti igienico-sanitari,</w:t>
      </w:r>
    </w:p>
    <w:p w:rsidR="00A8020D" w:rsidRDefault="00BB22E8">
      <w:pPr>
        <w:numPr>
          <w:ilvl w:val="0"/>
          <w:numId w:val="10"/>
        </w:numPr>
        <w:ind w:right="14" w:hanging="374"/>
      </w:pPr>
      <w:r>
        <w:t>rispetto dei requisiti di viabilità;</w:t>
      </w:r>
    </w:p>
    <w:p w:rsidR="00A8020D" w:rsidRDefault="00BB22E8">
      <w:pPr>
        <w:numPr>
          <w:ilvl w:val="0"/>
          <w:numId w:val="10"/>
        </w:numPr>
        <w:spacing w:after="56"/>
        <w:ind w:right="14" w:hanging="374"/>
      </w:pPr>
      <w:r>
        <w:t>rispetto delle norme sulla prevenzione incendi;</w:t>
      </w:r>
    </w:p>
    <w:p w:rsidR="00A8020D" w:rsidRDefault="00BB22E8">
      <w:pPr>
        <w:ind w:left="1281" w:right="14"/>
      </w:pPr>
      <w:r>
        <w:t>t) conformità</w:t>
      </w:r>
      <w:r w:rsidR="00BB3114">
        <w:t xml:space="preserve"> dell</w:t>
      </w:r>
      <w:r w:rsidR="00595A92">
        <w:t>'impianto elettrico alla vigente</w:t>
      </w:r>
      <w:r>
        <w:t xml:space="preserve"> normativa;</w:t>
      </w:r>
    </w:p>
    <w:p w:rsidR="00A8020D" w:rsidRDefault="00BB3114">
      <w:pPr>
        <w:numPr>
          <w:ilvl w:val="0"/>
          <w:numId w:val="11"/>
        </w:numPr>
        <w:ind w:right="14" w:hanging="389"/>
      </w:pPr>
      <w:r>
        <w:t>adeguata insono</w:t>
      </w:r>
      <w:r w:rsidR="00BB22E8">
        <w:t>rizzazione dei locali mediante riv</w:t>
      </w:r>
      <w:r>
        <w:t>estimento delle pareti, dei soffitti</w:t>
      </w:r>
      <w:r w:rsidR="00BB22E8">
        <w:t xml:space="preserve"> e del pavimento con materiale fonoassorbente e ignifugo, ritenuto idoneo da apposita certificazione rilasciat</w:t>
      </w:r>
      <w:r>
        <w:t>a da tecnico abilitato, con rife</w:t>
      </w:r>
      <w:r w:rsidR="00BB22E8">
        <w:t>rimento alle vigenti norme in materia acustica, comprovata da apposita asseverazione redatta da un tecnico iscritto all'apposito albo regionale degli esperti in materia acustica, ai sensi del DPR 227/201 1;</w:t>
      </w:r>
    </w:p>
    <w:p w:rsidR="00A8020D" w:rsidRDefault="00BB22E8">
      <w:pPr>
        <w:numPr>
          <w:ilvl w:val="0"/>
          <w:numId w:val="11"/>
        </w:numPr>
        <w:spacing w:after="43"/>
        <w:ind w:right="14" w:hanging="389"/>
      </w:pPr>
      <w:r>
        <w:t>i locali devono essere dotati di almeno due servizi igienici per il pubblico, separati per uomini e donne, muniti di antibagno, in conformità alle norme in materia di abbattimento delle barriere archit</w:t>
      </w:r>
      <w:r w:rsidR="00BB3114">
        <w:t xml:space="preserve">ettoniche. I locali devono </w:t>
      </w:r>
      <w:proofErr w:type="spellStart"/>
      <w:r w:rsidR="00BB3114">
        <w:t>altre</w:t>
      </w:r>
      <w:r>
        <w:t>si</w:t>
      </w:r>
      <w:r w:rsidR="00BB3114">
        <w:t>’</w:t>
      </w:r>
      <w:proofErr w:type="spellEnd"/>
      <w:r>
        <w:t xml:space="preserve"> essere dotati di un servizio igienico destinato agli operatori e munito di antibagno e spogliatoio, conformi alle norme in materia di abbattimento delle barriere architettoniche, qualora nei locali stessi sia esercitata anche l'attività di somministrazione di alimenti e bevande;</w:t>
      </w:r>
    </w:p>
    <w:p w:rsidR="00A8020D" w:rsidRDefault="00BB22E8">
      <w:pPr>
        <w:numPr>
          <w:ilvl w:val="0"/>
          <w:numId w:val="11"/>
        </w:numPr>
        <w:ind w:right="14" w:hanging="389"/>
      </w:pPr>
      <w:r>
        <w:t>il locale sede dell'attività deve avere una superficie utile di mq. 100;</w:t>
      </w:r>
    </w:p>
    <w:p w:rsidR="00A8020D" w:rsidRDefault="00BB22E8">
      <w:pPr>
        <w:numPr>
          <w:ilvl w:val="0"/>
          <w:numId w:val="11"/>
        </w:numPr>
        <w:ind w:right="14" w:hanging="389"/>
      </w:pPr>
      <w:r>
        <w:t>accessibilità ai locali garantita anche alle persone disabili, nel rispetto delle norme in materia di abbattimento delle barriere architettoniche;</w:t>
      </w:r>
    </w:p>
    <w:p w:rsidR="00A8020D" w:rsidRDefault="00003A54">
      <w:pPr>
        <w:numPr>
          <w:ilvl w:val="0"/>
          <w:numId w:val="11"/>
        </w:numPr>
        <w:ind w:right="14" w:hanging="389"/>
      </w:pPr>
      <w:r>
        <w:t>immissione</w:t>
      </w:r>
      <w:r w:rsidR="00BB22E8">
        <w:t xml:space="preserve"> alla pubblica fognatura ed assimilazione alle acque reflue domestiche</w:t>
      </w:r>
      <w:r>
        <w:t xml:space="preserve"> (dim</w:t>
      </w:r>
      <w:r w:rsidR="00BB22E8">
        <w:t>ostrazione di aver presentato all'Ente competente, anche attraverso il SUAP, la relativa documentazione);</w:t>
      </w:r>
    </w:p>
    <w:p w:rsidR="00A8020D" w:rsidRDefault="00BB22E8">
      <w:pPr>
        <w:numPr>
          <w:ilvl w:val="0"/>
          <w:numId w:val="11"/>
        </w:numPr>
        <w:spacing w:after="1120"/>
        <w:ind w:right="14" w:hanging="389"/>
      </w:pPr>
      <w:r>
        <w:t>in aggiunta alla dotazione dei parcheggi prescritta dalla vigente normativa urbanistica. le sale pubbliche da gioco, in caso di nuova apertura, di trasferimento di sede e/o di ampliamento della superficie, devono disporre di un parcheggio privato, riservato ai clienti dell'esercizio, in misura n</w:t>
      </w:r>
      <w:r w:rsidR="00003A54">
        <w:t>on inferiore a 1</w:t>
      </w:r>
      <w:r>
        <w:t xml:space="preserve"> mq/mq di superficie utile, computandosi a tal fine anche la superficie destinata alla somministrazione. Tale parcheggio deve essere in diretta contiguità funzionale con l'esercizio.</w:t>
      </w:r>
      <w:r w:rsidR="00003A54">
        <w:t xml:space="preserve"> </w:t>
      </w:r>
      <w:r>
        <w:t xml:space="preserve">La diretta contiguità funzionale si intende rispettata nel caso in cui l'area di parcheggio individuata sia ad una distanza, calcolata secondo il percorso pedonale più breve, non superiore a duecento metri. ln caso di convenzione con un garage, quest'ultimo deve garantire sia l'apertura per tutto il tempo di apertura della sala giochi, sia un adeguato numero di stalli riservali alla clientela di quest'ultima in modo da </w:t>
      </w:r>
      <w:r w:rsidR="00003A54">
        <w:t>garantire comunque il rapporto</w:t>
      </w:r>
      <w:r>
        <w:t xml:space="preserve"> mq di parcheggio per mq di superficie utile del locale.</w:t>
      </w:r>
    </w:p>
    <w:p w:rsidR="00A8020D" w:rsidRDefault="00BB22E8">
      <w:pPr>
        <w:pStyle w:val="Titolo1"/>
        <w:spacing w:after="197" w:line="252" w:lineRule="auto"/>
        <w:ind w:left="2989"/>
        <w:jc w:val="left"/>
      </w:pPr>
      <w:r>
        <w:t>ART.</w:t>
      </w:r>
      <w:r w:rsidR="00003A54">
        <w:t>7</w:t>
      </w:r>
      <w:r>
        <w:t>'- AUTORIZZAZIONE ALL'APERTURA</w:t>
      </w:r>
    </w:p>
    <w:p w:rsidR="00A8020D" w:rsidRDefault="00BB22E8">
      <w:pPr>
        <w:spacing w:after="44"/>
        <w:ind w:left="1050" w:right="14" w:hanging="331"/>
      </w:pPr>
      <w:r>
        <w:rPr>
          <w:noProof/>
        </w:rPr>
        <w:drawing>
          <wp:inline distT="0" distB="0" distL="0" distR="0">
            <wp:extent cx="91372" cy="109676"/>
            <wp:effectExtent l="0" t="0" r="0" b="0"/>
            <wp:docPr id="38066" name="Picture 38066"/>
            <wp:cNvGraphicFramePr/>
            <a:graphic xmlns:a="http://schemas.openxmlformats.org/drawingml/2006/main">
              <a:graphicData uri="http://schemas.openxmlformats.org/drawingml/2006/picture">
                <pic:pic xmlns:pic="http://schemas.openxmlformats.org/drawingml/2006/picture">
                  <pic:nvPicPr>
                    <pic:cNvPr id="38066" name="Picture 38066"/>
                    <pic:cNvPicPr/>
                  </pic:nvPicPr>
                  <pic:blipFill>
                    <a:blip r:embed="rId18"/>
                    <a:stretch>
                      <a:fillRect/>
                    </a:stretch>
                  </pic:blipFill>
                  <pic:spPr>
                    <a:xfrm>
                      <a:off x="0" y="0"/>
                      <a:ext cx="91372" cy="109676"/>
                    </a:xfrm>
                    <a:prstGeom prst="rect">
                      <a:avLst/>
                    </a:prstGeom>
                  </pic:spPr>
                </pic:pic>
              </a:graphicData>
            </a:graphic>
          </wp:inline>
        </w:drawing>
      </w:r>
      <w:r>
        <w:t>L'autorizzazione unica di un nuovo esercizio di sala pubblica da gioco è rilasciata dietro domanda sottoscritta dall'interessato e presentala al SUAP ai sensi e per gli effetti del D.P.R. 160/2010.</w:t>
      </w:r>
    </w:p>
    <w:p w:rsidR="00A8020D" w:rsidRDefault="00BB22E8">
      <w:pPr>
        <w:spacing w:after="1368"/>
        <w:ind w:left="1036" w:right="14" w:hanging="345"/>
      </w:pPr>
      <w:r>
        <w:t xml:space="preserve">2. Il responsabile SUA P provvede al periodico aggiornamento della modulistica e dell'elenco </w:t>
      </w:r>
      <w:r w:rsidR="00003A54">
        <w:t>della documentazione da allegare</w:t>
      </w:r>
      <w:r>
        <w:t xml:space="preserve"> in funzione delle innovazioni legislative e delle finalità di cui all'art. 1 senza che ciò comporti la necessità di modificare il presente regolamento. Pertanto è facoltà del SUAP predisporre ogni altro accertamento c/o richiedere eventuale altra documentazione che si rendesse necessaria ai fini della sicurezza, dell'ordine pubblico. della quiete della collettività e per motivi igienico sanitari.</w:t>
      </w:r>
    </w:p>
    <w:p w:rsidR="00A8020D" w:rsidRDefault="00BB22E8">
      <w:pPr>
        <w:pStyle w:val="Titolo1"/>
        <w:spacing w:after="450"/>
        <w:ind w:left="1161" w:right="259"/>
      </w:pPr>
      <w:r>
        <w:t>ART. 8 -SUBINGRESSO</w:t>
      </w:r>
    </w:p>
    <w:p w:rsidR="00A8020D" w:rsidRDefault="00BB22E8">
      <w:pPr>
        <w:ind w:left="1079" w:right="14"/>
      </w:pPr>
      <w:r>
        <w:t>In caso di trasferimento della titolarità o della gestione dell'esercizio, il subentrante è tenuto a presentare istanza di subingresso allegando la documentazione specifica ai competenti uffici comunali.</w:t>
      </w:r>
    </w:p>
    <w:p w:rsidR="00A763D7" w:rsidRDefault="00A763D7">
      <w:pPr>
        <w:ind w:left="1079" w:right="14"/>
      </w:pPr>
    </w:p>
    <w:p w:rsidR="00A8020D" w:rsidRDefault="00BB22E8">
      <w:pPr>
        <w:pStyle w:val="Titolo1"/>
        <w:spacing w:after="493"/>
        <w:ind w:left="0" w:right="43" w:firstLine="0"/>
        <w:jc w:val="right"/>
      </w:pPr>
      <w:r>
        <w:t>Art.9- AUTORIZZAZIONE AL TRASFERIMENTO E/O ALL'AMPLIAMENTO DEI LOCALI</w:t>
      </w:r>
    </w:p>
    <w:p w:rsidR="00A8020D" w:rsidRDefault="00BB22E8">
      <w:pPr>
        <w:spacing w:after="1089"/>
        <w:ind w:left="1151" w:right="14" w:firstLine="72"/>
      </w:pPr>
      <w:r>
        <w:t>La domanda di trasferimento e/o di ampliamento dei locali deve essere redatta e documentata in osservanza degli artt. 6 e 9 del presente regolamento.</w:t>
      </w:r>
    </w:p>
    <w:p w:rsidR="00A8020D" w:rsidRDefault="00BB22E8">
      <w:pPr>
        <w:pStyle w:val="Titolo1"/>
        <w:spacing w:after="162"/>
        <w:ind w:left="1161" w:right="29"/>
      </w:pPr>
      <w:r>
        <w:t>Art. 10 - DISTANZE Dl RISPETTO</w:t>
      </w:r>
    </w:p>
    <w:p w:rsidR="00A8020D" w:rsidRDefault="00BB22E8">
      <w:pPr>
        <w:ind w:left="1280" w:right="14" w:hanging="345"/>
      </w:pPr>
      <w:r>
        <w:rPr>
          <w:noProof/>
        </w:rPr>
        <w:drawing>
          <wp:inline distT="0" distB="0" distL="0" distR="0">
            <wp:extent cx="91372" cy="109676"/>
            <wp:effectExtent l="0" t="0" r="0" b="0"/>
            <wp:docPr id="38070" name="Picture 38070"/>
            <wp:cNvGraphicFramePr/>
            <a:graphic xmlns:a="http://schemas.openxmlformats.org/drawingml/2006/main">
              <a:graphicData uri="http://schemas.openxmlformats.org/drawingml/2006/picture">
                <pic:pic xmlns:pic="http://schemas.openxmlformats.org/drawingml/2006/picture">
                  <pic:nvPicPr>
                    <pic:cNvPr id="38070" name="Picture 38070"/>
                    <pic:cNvPicPr/>
                  </pic:nvPicPr>
                  <pic:blipFill>
                    <a:blip r:embed="rId19"/>
                    <a:stretch>
                      <a:fillRect/>
                    </a:stretch>
                  </pic:blipFill>
                  <pic:spPr>
                    <a:xfrm>
                      <a:off x="0" y="0"/>
                      <a:ext cx="91372" cy="109676"/>
                    </a:xfrm>
                    <a:prstGeom prst="rect">
                      <a:avLst/>
                    </a:prstGeom>
                  </pic:spPr>
                </pic:pic>
              </a:graphicData>
            </a:graphic>
          </wp:inline>
        </w:drawing>
      </w:r>
      <w:r w:rsidR="001C2B75">
        <w:t xml:space="preserve"> </w:t>
      </w:r>
      <w:r w:rsidR="00A763D7">
        <w:t>ln caso di apertura,</w:t>
      </w:r>
      <w:r>
        <w:t xml:space="preserve"> t</w:t>
      </w:r>
      <w:r w:rsidR="00A763D7">
        <w:t>rasfe</w:t>
      </w:r>
      <w:r>
        <w:t xml:space="preserve">rimento, modifica della superficie utile o subingresso con o senza modifica dei locali, la </w:t>
      </w:r>
      <w:proofErr w:type="gramStart"/>
      <w:r>
        <w:t xml:space="preserve">distanza </w:t>
      </w:r>
      <w:r w:rsidR="001C2B75">
        <w:t xml:space="preserve"> </w:t>
      </w:r>
      <w:r>
        <w:t>minima</w:t>
      </w:r>
      <w:proofErr w:type="gramEnd"/>
      <w:r>
        <w:t xml:space="preserve"> di una sala giochi o di un punto di raccolta delle scommesse autorizza</w:t>
      </w:r>
      <w:r w:rsidR="00A763D7">
        <w:t>ta ai sensi dell'art.88 del TUL</w:t>
      </w:r>
      <w:r>
        <w:t xml:space="preserve">PS, è fissata in mt. </w:t>
      </w:r>
      <w:bookmarkStart w:id="0" w:name="_GoBack"/>
      <w:r>
        <w:t>300</w:t>
      </w:r>
      <w:bookmarkEnd w:id="0"/>
      <w:r>
        <w:t xml:space="preserve"> dai luoghi sensibili</w:t>
      </w:r>
      <w:r w:rsidR="00D17EFD">
        <w:t>.</w:t>
      </w:r>
      <w:r>
        <w:t xml:space="preserve"> </w:t>
      </w:r>
    </w:p>
    <w:p w:rsidR="00A8020D" w:rsidRDefault="00A763D7">
      <w:pPr>
        <w:spacing w:after="525"/>
        <w:ind w:left="1280" w:right="14" w:hanging="345"/>
      </w:pPr>
      <w:r>
        <w:t>2. Al fine</w:t>
      </w:r>
      <w:r w:rsidR="00BB22E8">
        <w:t xml:space="preserve"> di tutela della salute pubblica, per evitare che la disponibilità immediata di denaro contante costituis</w:t>
      </w:r>
      <w:r>
        <w:t>ca incentivo al gioco, all'intern</w:t>
      </w:r>
      <w:r w:rsidR="00BB22E8">
        <w:t>o del locale non possono essere presenti sportelli bancari, postali o bancomat e non possono essere installati nessu</w:t>
      </w:r>
      <w:r w:rsidR="00CC5388">
        <w:t>n tipo di giochi nel raggio di 3</w:t>
      </w:r>
      <w:r w:rsidR="00BB22E8">
        <w:t>00 metri cosi come stabilito dall'art. 1 comma 3.</w:t>
      </w:r>
    </w:p>
    <w:p w:rsidR="00A8020D" w:rsidRDefault="00F81883">
      <w:pPr>
        <w:pStyle w:val="Titolo1"/>
        <w:spacing w:after="787"/>
        <w:ind w:left="1161" w:right="302"/>
      </w:pPr>
      <w:r>
        <w:t xml:space="preserve">ART.11 </w:t>
      </w:r>
      <w:r w:rsidR="00BB22E8">
        <w:t>- GIOCHI LECITI CHE NON NECESSITANO DEL NULLA OSTA DELL'AMMINISTRAZIONE DELLO STATO</w:t>
      </w:r>
    </w:p>
    <w:p w:rsidR="00A8020D" w:rsidRDefault="00BB22E8">
      <w:pPr>
        <w:spacing w:after="42"/>
        <w:ind w:left="1439" w:right="14" w:hanging="504"/>
      </w:pPr>
      <w:r>
        <w:rPr>
          <w:noProof/>
        </w:rPr>
        <w:drawing>
          <wp:inline distT="0" distB="0" distL="0" distR="0">
            <wp:extent cx="82235" cy="100536"/>
            <wp:effectExtent l="0" t="0" r="0" b="0"/>
            <wp:docPr id="38072" name="Picture 38072"/>
            <wp:cNvGraphicFramePr/>
            <a:graphic xmlns:a="http://schemas.openxmlformats.org/drawingml/2006/main">
              <a:graphicData uri="http://schemas.openxmlformats.org/drawingml/2006/picture">
                <pic:pic xmlns:pic="http://schemas.openxmlformats.org/drawingml/2006/picture">
                  <pic:nvPicPr>
                    <pic:cNvPr id="38072" name="Picture 38072"/>
                    <pic:cNvPicPr/>
                  </pic:nvPicPr>
                  <pic:blipFill>
                    <a:blip r:embed="rId20"/>
                    <a:stretch>
                      <a:fillRect/>
                    </a:stretch>
                  </pic:blipFill>
                  <pic:spPr>
                    <a:xfrm>
                      <a:off x="0" y="0"/>
                      <a:ext cx="82235" cy="100536"/>
                    </a:xfrm>
                    <a:prstGeom prst="rect">
                      <a:avLst/>
                    </a:prstGeom>
                  </pic:spPr>
                </pic:pic>
              </a:graphicData>
            </a:graphic>
          </wp:inline>
        </w:drawing>
      </w:r>
      <w:r w:rsidR="001C2B75">
        <w:t xml:space="preserve"> </w:t>
      </w:r>
      <w:r>
        <w:t>I giochi per i quali non è previsto il versamento di somme di danaro collegate alla vincita quali bocce, flipper, ping-pong, giochi tramite l'</w:t>
      </w:r>
      <w:r w:rsidR="00A763D7">
        <w:t xml:space="preserve">utilizzo di specifiche consolle, </w:t>
      </w:r>
      <w:r>
        <w:t>giochi con il computer senza collegamento a internet.</w:t>
      </w:r>
    </w:p>
    <w:p w:rsidR="00A8020D" w:rsidRDefault="00BB22E8">
      <w:pPr>
        <w:spacing w:after="1094"/>
        <w:ind w:left="1395" w:right="14" w:hanging="532"/>
      </w:pPr>
      <w:r>
        <w:t>2. I giochi di cui al presente articolo non sono assoggettati ad un procedimento amministrativo e possono essere installati liberamente negli esercizi già autorizzati ai sensi dell'art.86 del 'IULPS. All'interno dell'esercizio deve comunque essere esposta la tabella dei giochi proibiti dal Questore e vidimata dal Sindaco o suo delegato(SUAP).</w:t>
      </w:r>
    </w:p>
    <w:p w:rsidR="00A8020D" w:rsidRDefault="00BB22E8">
      <w:pPr>
        <w:spacing w:after="520" w:line="259" w:lineRule="auto"/>
        <w:ind w:left="777" w:firstLine="0"/>
        <w:jc w:val="center"/>
      </w:pPr>
      <w:r>
        <w:t>ART.12- ORARI</w:t>
      </w:r>
    </w:p>
    <w:p w:rsidR="00A8020D" w:rsidRDefault="00BB22E8">
      <w:pPr>
        <w:ind w:left="1266" w:right="14"/>
      </w:pPr>
      <w:r>
        <w:t>Detto regolamento prevede l'aper</w:t>
      </w:r>
      <w:r w:rsidR="00A763D7">
        <w:t>tura di massimo 10 ore giornaliere</w:t>
      </w:r>
      <w:r>
        <w:t xml:space="preserve"> ad esclusione delle fasce orarie 7,30- 9,30 e 12.00- 14.00 con almeno una interruzione di 2 ore, dando tempestiva comunicazione al Comune cd alle Autorità competenti in materia</w:t>
      </w:r>
      <w:r w:rsidR="00F81883">
        <w:t>.</w:t>
      </w:r>
    </w:p>
    <w:p w:rsidR="009C645B" w:rsidRDefault="009C645B">
      <w:pPr>
        <w:ind w:left="1266" w:right="14"/>
      </w:pPr>
    </w:p>
    <w:p w:rsidR="00A8020D" w:rsidRDefault="00BB22E8">
      <w:pPr>
        <w:pStyle w:val="Titolo1"/>
        <w:spacing w:after="510"/>
        <w:ind w:left="1161" w:right="245"/>
      </w:pPr>
      <w:r>
        <w:t>ART. 13-</w:t>
      </w:r>
    </w:p>
    <w:p w:rsidR="00A8020D" w:rsidRDefault="00BB22E8">
      <w:pPr>
        <w:spacing w:after="803"/>
        <w:ind w:left="1511" w:right="14" w:hanging="173"/>
      </w:pPr>
      <w:r>
        <w:t>Il Comune di Benevento si impegna ad istituire un punto di ascolto presso il Settore Servizi Sociali, per sostenere i soggetti affetti da dipendenza da gioco di azzardo.</w:t>
      </w:r>
    </w:p>
    <w:p w:rsidR="00A8020D" w:rsidRDefault="00BB22E8">
      <w:pPr>
        <w:pStyle w:val="Titolo1"/>
        <w:spacing w:after="495"/>
        <w:ind w:left="1161" w:right="273"/>
      </w:pPr>
      <w:r>
        <w:t>ART. 14- SANZIONI</w:t>
      </w:r>
    </w:p>
    <w:p w:rsidR="00A8020D" w:rsidRDefault="00BB22E8" w:rsidP="00BB22E8">
      <w:pPr>
        <w:ind w:left="1266" w:right="14" w:hanging="331"/>
      </w:pPr>
      <w:r>
        <w:rPr>
          <w:noProof/>
        </w:rPr>
        <w:drawing>
          <wp:inline distT="0" distB="0" distL="0" distR="0">
            <wp:extent cx="91372" cy="100536"/>
            <wp:effectExtent l="0" t="0" r="0" b="0"/>
            <wp:docPr id="38077" name="Picture 38077"/>
            <wp:cNvGraphicFramePr/>
            <a:graphic xmlns:a="http://schemas.openxmlformats.org/drawingml/2006/main">
              <a:graphicData uri="http://schemas.openxmlformats.org/drawingml/2006/picture">
                <pic:pic xmlns:pic="http://schemas.openxmlformats.org/drawingml/2006/picture">
                  <pic:nvPicPr>
                    <pic:cNvPr id="38077" name="Picture 38077"/>
                    <pic:cNvPicPr/>
                  </pic:nvPicPr>
                  <pic:blipFill>
                    <a:blip r:embed="rId21"/>
                    <a:stretch>
                      <a:fillRect/>
                    </a:stretch>
                  </pic:blipFill>
                  <pic:spPr>
                    <a:xfrm>
                      <a:off x="0" y="0"/>
                      <a:ext cx="91372" cy="100536"/>
                    </a:xfrm>
                    <a:prstGeom prst="rect">
                      <a:avLst/>
                    </a:prstGeom>
                  </pic:spPr>
                </pic:pic>
              </a:graphicData>
            </a:graphic>
          </wp:inline>
        </w:drawing>
      </w:r>
      <w:r w:rsidR="009D0B1C">
        <w:t xml:space="preserve">   </w:t>
      </w:r>
      <w:r>
        <w:t>Ferme restando le sanzioni penali, si applicano quelle previste dalla Legge 9 agosto 2018. Le violazioni al Testo Unico delle Leggi di Pubblica Sicurezza di cui al</w:t>
      </w:r>
      <w:r>
        <w:rPr>
          <w:noProof/>
        </w:rPr>
        <w:drawing>
          <wp:inline distT="0" distB="0" distL="0" distR="0">
            <wp:extent cx="283255" cy="109676"/>
            <wp:effectExtent l="0" t="0" r="0" b="0"/>
            <wp:docPr id="38079" name="Picture 38079"/>
            <wp:cNvGraphicFramePr/>
            <a:graphic xmlns:a="http://schemas.openxmlformats.org/drawingml/2006/main">
              <a:graphicData uri="http://schemas.openxmlformats.org/drawingml/2006/picture">
                <pic:pic xmlns:pic="http://schemas.openxmlformats.org/drawingml/2006/picture">
                  <pic:nvPicPr>
                    <pic:cNvPr id="38079" name="Picture 38079"/>
                    <pic:cNvPicPr/>
                  </pic:nvPicPr>
                  <pic:blipFill>
                    <a:blip r:embed="rId22"/>
                    <a:stretch>
                      <a:fillRect/>
                    </a:stretch>
                  </pic:blipFill>
                  <pic:spPr>
                    <a:xfrm>
                      <a:off x="0" y="0"/>
                      <a:ext cx="283255" cy="109676"/>
                    </a:xfrm>
                    <a:prstGeom prst="rect">
                      <a:avLst/>
                    </a:prstGeom>
                  </pic:spPr>
                </pic:pic>
              </a:graphicData>
            </a:graphic>
          </wp:inline>
        </w:drawing>
      </w:r>
      <w:r>
        <w:t>773/1931 sono punite a</w:t>
      </w:r>
      <w:r w:rsidR="00A763D7">
        <w:t xml:space="preserve"> </w:t>
      </w:r>
      <w:r>
        <w:t xml:space="preserve">norma degli </w:t>
      </w:r>
      <w:r w:rsidR="00A763D7">
        <w:t>artt. 17 bis- 17 ter -17 quater</w:t>
      </w:r>
      <w:r>
        <w:t xml:space="preserve"> 1 10 del medesimo.</w:t>
      </w:r>
    </w:p>
    <w:p w:rsidR="00A8020D" w:rsidRDefault="00BB22E8">
      <w:pPr>
        <w:spacing w:after="864"/>
        <w:ind w:left="1280" w:right="14" w:hanging="345"/>
      </w:pPr>
      <w:r>
        <w:t xml:space="preserve">2. </w:t>
      </w:r>
      <w:r w:rsidR="009D0B1C">
        <w:t xml:space="preserve">  </w:t>
      </w:r>
      <w:r>
        <w:t xml:space="preserve">Le altre violazioni al presente regolamento comportano l'applicazione della sanzione amministrativa </w:t>
      </w:r>
      <w:r w:rsidR="00510FFA">
        <w:t xml:space="preserve">prevista dall'art. 7 bis </w:t>
      </w:r>
      <w:proofErr w:type="gramStart"/>
      <w:r w:rsidR="00510FFA">
        <w:t xml:space="preserve">comma </w:t>
      </w:r>
      <w:r>
        <w:t xml:space="preserve"> bis</w:t>
      </w:r>
      <w:proofErr w:type="gramEnd"/>
      <w:r>
        <w:t xml:space="preserve"> del D.lgs. n 267/2000 del pagamento di una somma da € 1 50,00 A € 450,00 Testo Unico delle leggi sugli enti locali.</w:t>
      </w:r>
    </w:p>
    <w:p w:rsidR="00A8020D" w:rsidRDefault="00BB22E8">
      <w:pPr>
        <w:pStyle w:val="Titolo1"/>
        <w:spacing w:after="477"/>
        <w:ind w:left="1161" w:right="259"/>
      </w:pPr>
      <w:r>
        <w:t>ART. 15- DISPOSIZIONI TRANSITORIE E FINALI</w:t>
      </w:r>
    </w:p>
    <w:p w:rsidR="00A72D7C" w:rsidRDefault="00BB22E8" w:rsidP="00A72D7C">
      <w:pPr>
        <w:pStyle w:val="Paragrafoelenco"/>
        <w:numPr>
          <w:ilvl w:val="0"/>
          <w:numId w:val="13"/>
        </w:numPr>
        <w:spacing w:after="52"/>
        <w:ind w:right="14"/>
      </w:pPr>
      <w:r>
        <w:t>Sono fatti salvi i diritti acquisiti dalle attività già esistenti alla data di entrata in vigore del presente regolamento</w:t>
      </w:r>
      <w:r w:rsidR="00A72D7C">
        <w:t xml:space="preserve"> anche con riferimento ai subentri </w:t>
      </w:r>
      <w:r w:rsidR="009C645B">
        <w:t xml:space="preserve">successivi a tale data. </w:t>
      </w:r>
      <w:r>
        <w:t xml:space="preserve"> </w:t>
      </w:r>
    </w:p>
    <w:p w:rsidR="00D67166" w:rsidRDefault="00A763D7" w:rsidP="00C15FAE">
      <w:pPr>
        <w:pStyle w:val="Paragrafoelenco"/>
        <w:spacing w:after="52"/>
        <w:ind w:right="14" w:firstLine="0"/>
      </w:pPr>
      <w:r>
        <w:t>Le domande in itine</w:t>
      </w:r>
      <w:r w:rsidR="00BB22E8">
        <w:t xml:space="preserve">re alla data di approvazione del presente regolamento sono istruite ed esitate sulla base </w:t>
      </w:r>
      <w:r w:rsidR="00C15FAE">
        <w:t xml:space="preserve"> </w:t>
      </w:r>
    </w:p>
    <w:p w:rsidR="0008464F" w:rsidRDefault="0008464F" w:rsidP="00C15FAE">
      <w:pPr>
        <w:pStyle w:val="Paragrafoelenco"/>
        <w:spacing w:after="52"/>
        <w:ind w:right="14" w:firstLine="0"/>
      </w:pPr>
    </w:p>
    <w:p w:rsidR="00A8020D" w:rsidRDefault="00BB22E8" w:rsidP="00C15FAE">
      <w:pPr>
        <w:pStyle w:val="Paragrafoelenco"/>
        <w:spacing w:after="52"/>
        <w:ind w:right="14" w:firstLine="0"/>
      </w:pPr>
      <w:r>
        <w:t>di quanto previsto da quest'ultimo.</w:t>
      </w:r>
    </w:p>
    <w:p w:rsidR="00A8020D" w:rsidRDefault="00BB22E8">
      <w:pPr>
        <w:numPr>
          <w:ilvl w:val="0"/>
          <w:numId w:val="12"/>
        </w:numPr>
        <w:spacing w:after="55"/>
        <w:ind w:right="14" w:hanging="489"/>
      </w:pPr>
      <w:r>
        <w:t>Detto regolamento entra in vigore decorsi 10</w:t>
      </w:r>
      <w:r w:rsidR="00234A42">
        <w:t xml:space="preserve"> </w:t>
      </w:r>
      <w:r>
        <w:t>gg. dall'approvazione in Consiglio Comunale.</w:t>
      </w:r>
    </w:p>
    <w:p w:rsidR="00A8020D" w:rsidRDefault="00BB22E8">
      <w:pPr>
        <w:numPr>
          <w:ilvl w:val="0"/>
          <w:numId w:val="12"/>
        </w:numPr>
        <w:ind w:right="14" w:hanging="489"/>
      </w:pPr>
      <w:r>
        <w:t>Per quanto non previsto da questo regolamento si fa espresso rinvio alla normativa nazionale e regionale (Legge 9 a</w:t>
      </w:r>
      <w:r w:rsidR="00234A42">
        <w:t>gosto 2018 n 96, Legge Regione</w:t>
      </w:r>
      <w:r>
        <w:t xml:space="preserve"> Campania n 16 del 7 agosto 2014 e </w:t>
      </w:r>
      <w:proofErr w:type="spellStart"/>
      <w:r>
        <w:t>ss</w:t>
      </w:r>
      <w:r w:rsidR="00234A42">
        <w:t>.</w:t>
      </w:r>
      <w:proofErr w:type="gramStart"/>
      <w:r>
        <w:t>m</w:t>
      </w:r>
      <w:r w:rsidR="00234A42">
        <w:t>m.</w:t>
      </w:r>
      <w:r>
        <w:t>ii</w:t>
      </w:r>
      <w:proofErr w:type="spellEnd"/>
      <w:r w:rsidR="00234A42">
        <w:t>.</w:t>
      </w:r>
      <w:proofErr w:type="gramEnd"/>
      <w:r w:rsidR="00234A42">
        <w:t xml:space="preserve"> Legge Regione Campania n. 2/2020</w:t>
      </w:r>
      <w:r>
        <w:t>).</w:t>
      </w:r>
    </w:p>
    <w:sectPr w:rsidR="00A8020D" w:rsidSect="00915590">
      <w:pgSz w:w="11900" w:h="16840"/>
      <w:pgMar w:top="1442" w:right="1180" w:bottom="1437" w:left="102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8.25pt;visibility:visible;mso-wrap-style:square" o:bullet="t">
        <v:imagedata r:id="rId1" o:title=""/>
      </v:shape>
    </w:pict>
  </w:numPicBullet>
  <w:abstractNum w:abstractNumId="0" w15:restartNumberingAfterBreak="0">
    <w:nsid w:val="04137653"/>
    <w:multiLevelType w:val="hybridMultilevel"/>
    <w:tmpl w:val="3EE415C6"/>
    <w:lvl w:ilvl="0" w:tplc="C72EB36E">
      <w:start w:val="1"/>
      <w:numFmt w:val="decimal"/>
      <w:lvlText w:val="%1."/>
      <w:lvlJc w:val="left"/>
      <w:pPr>
        <w:ind w:left="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76BEAE">
      <w:start w:val="1"/>
      <w:numFmt w:val="lowerLetter"/>
      <w:lvlText w:val="%2)"/>
      <w:lvlJc w:val="left"/>
      <w:pPr>
        <w:ind w:left="9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13ED99E">
      <w:start w:val="1"/>
      <w:numFmt w:val="lowerRoman"/>
      <w:lvlText w:val="%3"/>
      <w:lvlJc w:val="left"/>
      <w:pPr>
        <w:ind w:left="2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ABA988A">
      <w:start w:val="1"/>
      <w:numFmt w:val="decimal"/>
      <w:lvlText w:val="%4"/>
      <w:lvlJc w:val="left"/>
      <w:pPr>
        <w:ind w:left="28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5EEBB68">
      <w:start w:val="1"/>
      <w:numFmt w:val="lowerLetter"/>
      <w:lvlText w:val="%5"/>
      <w:lvlJc w:val="left"/>
      <w:pPr>
        <w:ind w:left="35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C8CB96C">
      <w:start w:val="1"/>
      <w:numFmt w:val="lowerRoman"/>
      <w:lvlText w:val="%6"/>
      <w:lvlJc w:val="left"/>
      <w:pPr>
        <w:ind w:left="4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33605D0">
      <w:start w:val="1"/>
      <w:numFmt w:val="decimal"/>
      <w:lvlText w:val="%7"/>
      <w:lvlJc w:val="left"/>
      <w:pPr>
        <w:ind w:left="50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774A74E">
      <w:start w:val="1"/>
      <w:numFmt w:val="lowerLetter"/>
      <w:lvlText w:val="%8"/>
      <w:lvlJc w:val="left"/>
      <w:pPr>
        <w:ind w:left="57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F0D66E">
      <w:start w:val="1"/>
      <w:numFmt w:val="lowerRoman"/>
      <w:lvlText w:val="%9"/>
      <w:lvlJc w:val="left"/>
      <w:pPr>
        <w:ind w:left="64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2F7401C"/>
    <w:multiLevelType w:val="hybridMultilevel"/>
    <w:tmpl w:val="4C42ED8E"/>
    <w:lvl w:ilvl="0" w:tplc="038687E4">
      <w:start w:val="2"/>
      <w:numFmt w:val="decimal"/>
      <w:lvlText w:val="%1."/>
      <w:lvlJc w:val="left"/>
      <w:pPr>
        <w:ind w:left="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F24484">
      <w:start w:val="1"/>
      <w:numFmt w:val="lowerLetter"/>
      <w:lvlText w:val="%2)"/>
      <w:lvlJc w:val="left"/>
      <w:pPr>
        <w:ind w:left="1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964A84">
      <w:start w:val="1"/>
      <w:numFmt w:val="lowerRoman"/>
      <w:lvlText w:val="%3"/>
      <w:lvlJc w:val="left"/>
      <w:pPr>
        <w:ind w:left="1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6CCA23C">
      <w:start w:val="1"/>
      <w:numFmt w:val="decimal"/>
      <w:lvlText w:val="%4"/>
      <w:lvlJc w:val="left"/>
      <w:pPr>
        <w:ind w:left="2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D0E66E">
      <w:start w:val="1"/>
      <w:numFmt w:val="lowerLetter"/>
      <w:lvlText w:val="%5"/>
      <w:lvlJc w:val="left"/>
      <w:pPr>
        <w:ind w:left="3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4C7416">
      <w:start w:val="1"/>
      <w:numFmt w:val="lowerRoman"/>
      <w:lvlText w:val="%6"/>
      <w:lvlJc w:val="left"/>
      <w:pPr>
        <w:ind w:left="3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6C2BD58">
      <w:start w:val="1"/>
      <w:numFmt w:val="decimal"/>
      <w:lvlText w:val="%7"/>
      <w:lvlJc w:val="left"/>
      <w:pPr>
        <w:ind w:left="4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7BE4482">
      <w:start w:val="1"/>
      <w:numFmt w:val="lowerLetter"/>
      <w:lvlText w:val="%8"/>
      <w:lvlJc w:val="left"/>
      <w:pPr>
        <w:ind w:left="5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42D0B2">
      <w:start w:val="1"/>
      <w:numFmt w:val="lowerRoman"/>
      <w:lvlText w:val="%9"/>
      <w:lvlJc w:val="left"/>
      <w:pPr>
        <w:ind w:left="6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DCE0E11"/>
    <w:multiLevelType w:val="hybridMultilevel"/>
    <w:tmpl w:val="8678395E"/>
    <w:lvl w:ilvl="0" w:tplc="3BEC380E">
      <w:start w:val="4"/>
      <w:numFmt w:val="lowerLetter"/>
      <w:lvlText w:val="%1."/>
      <w:lvlJc w:val="left"/>
      <w:pPr>
        <w:ind w:left="1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2E5890">
      <w:start w:val="1"/>
      <w:numFmt w:val="lowerLetter"/>
      <w:lvlText w:val="%2"/>
      <w:lvlJc w:val="left"/>
      <w:pPr>
        <w:ind w:left="1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407B4A">
      <w:start w:val="1"/>
      <w:numFmt w:val="lowerRoman"/>
      <w:lvlText w:val="%3"/>
      <w:lvlJc w:val="left"/>
      <w:pPr>
        <w:ind w:left="2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B85D38">
      <w:start w:val="1"/>
      <w:numFmt w:val="decimal"/>
      <w:lvlText w:val="%4"/>
      <w:lvlJc w:val="left"/>
      <w:pPr>
        <w:ind w:left="3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243474">
      <w:start w:val="1"/>
      <w:numFmt w:val="lowerLetter"/>
      <w:lvlText w:val="%5"/>
      <w:lvlJc w:val="left"/>
      <w:pPr>
        <w:ind w:left="3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08D560">
      <w:start w:val="1"/>
      <w:numFmt w:val="lowerRoman"/>
      <w:lvlText w:val="%6"/>
      <w:lvlJc w:val="left"/>
      <w:pPr>
        <w:ind w:left="4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C8C172">
      <w:start w:val="1"/>
      <w:numFmt w:val="decimal"/>
      <w:lvlText w:val="%7"/>
      <w:lvlJc w:val="left"/>
      <w:pPr>
        <w:ind w:left="5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FAC54E">
      <w:start w:val="1"/>
      <w:numFmt w:val="lowerLetter"/>
      <w:lvlText w:val="%8"/>
      <w:lvlJc w:val="left"/>
      <w:pPr>
        <w:ind w:left="6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E42EA2">
      <w:start w:val="1"/>
      <w:numFmt w:val="lowerRoman"/>
      <w:lvlText w:val="%9"/>
      <w:lvlJc w:val="left"/>
      <w:pPr>
        <w:ind w:left="6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DEF1C67"/>
    <w:multiLevelType w:val="hybridMultilevel"/>
    <w:tmpl w:val="A7E0B106"/>
    <w:lvl w:ilvl="0" w:tplc="CCC8CBB6">
      <w:start w:val="2"/>
      <w:numFmt w:val="decimal"/>
      <w:lvlText w:val="%1."/>
      <w:lvlJc w:val="left"/>
      <w:pPr>
        <w:ind w:left="1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2C7EF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2ADF8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2A90C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3C586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1A954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A4B3D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E2375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A062A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C732EA"/>
    <w:multiLevelType w:val="hybridMultilevel"/>
    <w:tmpl w:val="0FBCFDCE"/>
    <w:lvl w:ilvl="0" w:tplc="4D88E4DA">
      <w:start w:val="6"/>
      <w:numFmt w:val="decimal"/>
      <w:lvlText w:val="%1."/>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5205C6">
      <w:start w:val="1"/>
      <w:numFmt w:val="lowerLetter"/>
      <w:lvlText w:val="%2"/>
      <w:lvlJc w:val="left"/>
      <w:pPr>
        <w:ind w:left="1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A020E2">
      <w:start w:val="1"/>
      <w:numFmt w:val="lowerRoman"/>
      <w:lvlText w:val="%3"/>
      <w:lvlJc w:val="left"/>
      <w:pPr>
        <w:ind w:left="1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8AB83A">
      <w:start w:val="1"/>
      <w:numFmt w:val="decimal"/>
      <w:lvlText w:val="%4"/>
      <w:lvlJc w:val="left"/>
      <w:pPr>
        <w:ind w:left="2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46DB3C">
      <w:start w:val="1"/>
      <w:numFmt w:val="lowerLetter"/>
      <w:lvlText w:val="%5"/>
      <w:lvlJc w:val="left"/>
      <w:pPr>
        <w:ind w:left="3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085940">
      <w:start w:val="1"/>
      <w:numFmt w:val="lowerRoman"/>
      <w:lvlText w:val="%6"/>
      <w:lvlJc w:val="left"/>
      <w:pPr>
        <w:ind w:left="4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82E12C">
      <w:start w:val="1"/>
      <w:numFmt w:val="decimal"/>
      <w:lvlText w:val="%7"/>
      <w:lvlJc w:val="left"/>
      <w:pPr>
        <w:ind w:left="4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12A77A">
      <w:start w:val="1"/>
      <w:numFmt w:val="lowerLetter"/>
      <w:lvlText w:val="%8"/>
      <w:lvlJc w:val="left"/>
      <w:pPr>
        <w:ind w:left="5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3A06B2">
      <w:start w:val="1"/>
      <w:numFmt w:val="lowerRoman"/>
      <w:lvlText w:val="%9"/>
      <w:lvlJc w:val="left"/>
      <w:pPr>
        <w:ind w:left="6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6A0485"/>
    <w:multiLevelType w:val="hybridMultilevel"/>
    <w:tmpl w:val="3B22E4DA"/>
    <w:lvl w:ilvl="0" w:tplc="3968C97E">
      <w:start w:val="1"/>
      <w:numFmt w:val="lowerLetter"/>
      <w:lvlText w:val="%1."/>
      <w:lvlJc w:val="left"/>
      <w:pPr>
        <w:ind w:left="14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1CEEE94">
      <w:start w:val="1"/>
      <w:numFmt w:val="lowerLetter"/>
      <w:lvlText w:val="%2"/>
      <w:lvlJc w:val="left"/>
      <w:pPr>
        <w:ind w:left="19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AA8B634">
      <w:start w:val="1"/>
      <w:numFmt w:val="lowerRoman"/>
      <w:lvlText w:val="%3"/>
      <w:lvlJc w:val="left"/>
      <w:pPr>
        <w:ind w:left="2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898F7AE">
      <w:start w:val="1"/>
      <w:numFmt w:val="decimal"/>
      <w:lvlText w:val="%4"/>
      <w:lvlJc w:val="left"/>
      <w:pPr>
        <w:ind w:left="3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8AB5AA">
      <w:start w:val="1"/>
      <w:numFmt w:val="lowerLetter"/>
      <w:lvlText w:val="%5"/>
      <w:lvlJc w:val="left"/>
      <w:pPr>
        <w:ind w:left="4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9E8768">
      <w:start w:val="1"/>
      <w:numFmt w:val="lowerRoman"/>
      <w:lvlText w:val="%6"/>
      <w:lvlJc w:val="left"/>
      <w:pPr>
        <w:ind w:left="4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B5488AE">
      <w:start w:val="1"/>
      <w:numFmt w:val="decimal"/>
      <w:lvlText w:val="%7"/>
      <w:lvlJc w:val="left"/>
      <w:pPr>
        <w:ind w:left="5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1EAD1E8">
      <w:start w:val="1"/>
      <w:numFmt w:val="lowerLetter"/>
      <w:lvlText w:val="%8"/>
      <w:lvlJc w:val="left"/>
      <w:pPr>
        <w:ind w:left="6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30C1BE">
      <w:start w:val="1"/>
      <w:numFmt w:val="lowerRoman"/>
      <w:lvlText w:val="%9"/>
      <w:lvlJc w:val="left"/>
      <w:pPr>
        <w:ind w:left="6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3AD0B0B"/>
    <w:multiLevelType w:val="hybridMultilevel"/>
    <w:tmpl w:val="B52834A0"/>
    <w:lvl w:ilvl="0" w:tplc="264CBE7A">
      <w:start w:val="1"/>
      <w:numFmt w:val="bullet"/>
      <w:lvlText w:val=""/>
      <w:lvlPicBulletId w:val="0"/>
      <w:lvlJc w:val="left"/>
      <w:pPr>
        <w:tabs>
          <w:tab w:val="num" w:pos="720"/>
        </w:tabs>
        <w:ind w:left="720" w:hanging="360"/>
      </w:pPr>
      <w:rPr>
        <w:rFonts w:ascii="Symbol" w:hAnsi="Symbol" w:hint="default"/>
      </w:rPr>
    </w:lvl>
    <w:lvl w:ilvl="1" w:tplc="DF3C86C0" w:tentative="1">
      <w:start w:val="1"/>
      <w:numFmt w:val="bullet"/>
      <w:lvlText w:val=""/>
      <w:lvlJc w:val="left"/>
      <w:pPr>
        <w:tabs>
          <w:tab w:val="num" w:pos="1440"/>
        </w:tabs>
        <w:ind w:left="1440" w:hanging="360"/>
      </w:pPr>
      <w:rPr>
        <w:rFonts w:ascii="Symbol" w:hAnsi="Symbol" w:hint="default"/>
      </w:rPr>
    </w:lvl>
    <w:lvl w:ilvl="2" w:tplc="112E95BE" w:tentative="1">
      <w:start w:val="1"/>
      <w:numFmt w:val="bullet"/>
      <w:lvlText w:val=""/>
      <w:lvlJc w:val="left"/>
      <w:pPr>
        <w:tabs>
          <w:tab w:val="num" w:pos="2160"/>
        </w:tabs>
        <w:ind w:left="2160" w:hanging="360"/>
      </w:pPr>
      <w:rPr>
        <w:rFonts w:ascii="Symbol" w:hAnsi="Symbol" w:hint="default"/>
      </w:rPr>
    </w:lvl>
    <w:lvl w:ilvl="3" w:tplc="1100ADE8" w:tentative="1">
      <w:start w:val="1"/>
      <w:numFmt w:val="bullet"/>
      <w:lvlText w:val=""/>
      <w:lvlJc w:val="left"/>
      <w:pPr>
        <w:tabs>
          <w:tab w:val="num" w:pos="2880"/>
        </w:tabs>
        <w:ind w:left="2880" w:hanging="360"/>
      </w:pPr>
      <w:rPr>
        <w:rFonts w:ascii="Symbol" w:hAnsi="Symbol" w:hint="default"/>
      </w:rPr>
    </w:lvl>
    <w:lvl w:ilvl="4" w:tplc="213EBD62" w:tentative="1">
      <w:start w:val="1"/>
      <w:numFmt w:val="bullet"/>
      <w:lvlText w:val=""/>
      <w:lvlJc w:val="left"/>
      <w:pPr>
        <w:tabs>
          <w:tab w:val="num" w:pos="3600"/>
        </w:tabs>
        <w:ind w:left="3600" w:hanging="360"/>
      </w:pPr>
      <w:rPr>
        <w:rFonts w:ascii="Symbol" w:hAnsi="Symbol" w:hint="default"/>
      </w:rPr>
    </w:lvl>
    <w:lvl w:ilvl="5" w:tplc="FACE56CE" w:tentative="1">
      <w:start w:val="1"/>
      <w:numFmt w:val="bullet"/>
      <w:lvlText w:val=""/>
      <w:lvlJc w:val="left"/>
      <w:pPr>
        <w:tabs>
          <w:tab w:val="num" w:pos="4320"/>
        </w:tabs>
        <w:ind w:left="4320" w:hanging="360"/>
      </w:pPr>
      <w:rPr>
        <w:rFonts w:ascii="Symbol" w:hAnsi="Symbol" w:hint="default"/>
      </w:rPr>
    </w:lvl>
    <w:lvl w:ilvl="6" w:tplc="8C68DB22" w:tentative="1">
      <w:start w:val="1"/>
      <w:numFmt w:val="bullet"/>
      <w:lvlText w:val=""/>
      <w:lvlJc w:val="left"/>
      <w:pPr>
        <w:tabs>
          <w:tab w:val="num" w:pos="5040"/>
        </w:tabs>
        <w:ind w:left="5040" w:hanging="360"/>
      </w:pPr>
      <w:rPr>
        <w:rFonts w:ascii="Symbol" w:hAnsi="Symbol" w:hint="default"/>
      </w:rPr>
    </w:lvl>
    <w:lvl w:ilvl="7" w:tplc="2D1C0798" w:tentative="1">
      <w:start w:val="1"/>
      <w:numFmt w:val="bullet"/>
      <w:lvlText w:val=""/>
      <w:lvlJc w:val="left"/>
      <w:pPr>
        <w:tabs>
          <w:tab w:val="num" w:pos="5760"/>
        </w:tabs>
        <w:ind w:left="5760" w:hanging="360"/>
      </w:pPr>
      <w:rPr>
        <w:rFonts w:ascii="Symbol" w:hAnsi="Symbol" w:hint="default"/>
      </w:rPr>
    </w:lvl>
    <w:lvl w:ilvl="8" w:tplc="B134AE9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8FD6547"/>
    <w:multiLevelType w:val="hybridMultilevel"/>
    <w:tmpl w:val="57B4F98E"/>
    <w:lvl w:ilvl="0" w:tplc="577E054C">
      <w:start w:val="7"/>
      <w:numFmt w:val="lowerLetter"/>
      <w:lvlText w:val="%1)"/>
      <w:lvlJc w:val="left"/>
      <w:pPr>
        <w:ind w:left="1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687CDE">
      <w:start w:val="1"/>
      <w:numFmt w:val="lowerLetter"/>
      <w:lvlText w:val="%2"/>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28F130">
      <w:start w:val="1"/>
      <w:numFmt w:val="lowerRoman"/>
      <w:lvlText w:val="%3"/>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DE3AAA">
      <w:start w:val="1"/>
      <w:numFmt w:val="decimal"/>
      <w:lvlText w:val="%4"/>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BA95AA">
      <w:start w:val="1"/>
      <w:numFmt w:val="lowerLetter"/>
      <w:lvlText w:val="%5"/>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2A673C">
      <w:start w:val="1"/>
      <w:numFmt w:val="lowerRoman"/>
      <w:lvlText w:val="%6"/>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1A73C0">
      <w:start w:val="1"/>
      <w:numFmt w:val="decimal"/>
      <w:lvlText w:val="%7"/>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2EA7B4">
      <w:start w:val="1"/>
      <w:numFmt w:val="lowerLetter"/>
      <w:lvlText w:val="%8"/>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E00BBC">
      <w:start w:val="1"/>
      <w:numFmt w:val="lowerRoman"/>
      <w:lvlText w:val="%9"/>
      <w:lvlJc w:val="left"/>
      <w:pPr>
        <w:ind w:left="6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A392407"/>
    <w:multiLevelType w:val="hybridMultilevel"/>
    <w:tmpl w:val="BF1C0BDA"/>
    <w:lvl w:ilvl="0" w:tplc="11F2F712">
      <w:start w:val="2"/>
      <w:numFmt w:val="decimal"/>
      <w:lvlText w:val="%1."/>
      <w:lvlJc w:val="left"/>
      <w:pPr>
        <w:ind w:left="1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76356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60E28A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F8ADE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D2667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D88B4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66AB6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86E39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6B6B74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4BA075AC"/>
    <w:multiLevelType w:val="hybridMultilevel"/>
    <w:tmpl w:val="2F02DE4E"/>
    <w:lvl w:ilvl="0" w:tplc="11A2C194">
      <w:start w:val="7"/>
      <w:numFmt w:val="lowerLetter"/>
      <w:lvlText w:val="%1)"/>
      <w:lvlJc w:val="left"/>
      <w:pPr>
        <w:ind w:left="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AEFB48">
      <w:start w:val="1"/>
      <w:numFmt w:val="lowerLetter"/>
      <w:lvlText w:val="%2"/>
      <w:lvlJc w:val="left"/>
      <w:pPr>
        <w:ind w:left="1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5CDCC6">
      <w:start w:val="1"/>
      <w:numFmt w:val="lowerRoman"/>
      <w:lvlText w:val="%3"/>
      <w:lvlJc w:val="left"/>
      <w:pPr>
        <w:ind w:left="2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10D58E">
      <w:start w:val="1"/>
      <w:numFmt w:val="decimal"/>
      <w:lvlText w:val="%4"/>
      <w:lvlJc w:val="left"/>
      <w:pPr>
        <w:ind w:left="3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F66864">
      <w:start w:val="1"/>
      <w:numFmt w:val="lowerLetter"/>
      <w:lvlText w:val="%5"/>
      <w:lvlJc w:val="left"/>
      <w:pPr>
        <w:ind w:left="3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0081D2">
      <w:start w:val="1"/>
      <w:numFmt w:val="lowerRoman"/>
      <w:lvlText w:val="%6"/>
      <w:lvlJc w:val="left"/>
      <w:pPr>
        <w:ind w:left="4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1C04AC">
      <w:start w:val="1"/>
      <w:numFmt w:val="decimal"/>
      <w:lvlText w:val="%7"/>
      <w:lvlJc w:val="left"/>
      <w:pPr>
        <w:ind w:left="5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A685D2">
      <w:start w:val="1"/>
      <w:numFmt w:val="lowerLetter"/>
      <w:lvlText w:val="%8"/>
      <w:lvlJc w:val="left"/>
      <w:pPr>
        <w:ind w:left="5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F0E770">
      <w:start w:val="1"/>
      <w:numFmt w:val="lowerRoman"/>
      <w:lvlText w:val="%9"/>
      <w:lvlJc w:val="left"/>
      <w:pPr>
        <w:ind w:left="6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A506C55"/>
    <w:multiLevelType w:val="hybridMultilevel"/>
    <w:tmpl w:val="9A0EBA02"/>
    <w:lvl w:ilvl="0" w:tplc="59987C62">
      <w:start w:val="2"/>
      <w:numFmt w:val="lowerLetter"/>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9ED02C">
      <w:start w:val="1"/>
      <w:numFmt w:val="lowerLetter"/>
      <w:lvlText w:val="%2"/>
      <w:lvlJc w:val="left"/>
      <w:pPr>
        <w:ind w:left="1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62873C">
      <w:start w:val="1"/>
      <w:numFmt w:val="lowerRoman"/>
      <w:lvlText w:val="%3"/>
      <w:lvlJc w:val="left"/>
      <w:pPr>
        <w:ind w:left="2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44F02">
      <w:start w:val="1"/>
      <w:numFmt w:val="decimal"/>
      <w:lvlText w:val="%4"/>
      <w:lvlJc w:val="left"/>
      <w:pPr>
        <w:ind w:left="3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48E170">
      <w:start w:val="1"/>
      <w:numFmt w:val="lowerLetter"/>
      <w:lvlText w:val="%5"/>
      <w:lvlJc w:val="left"/>
      <w:pPr>
        <w:ind w:left="3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42DBBA">
      <w:start w:val="1"/>
      <w:numFmt w:val="lowerRoman"/>
      <w:lvlText w:val="%6"/>
      <w:lvlJc w:val="left"/>
      <w:pPr>
        <w:ind w:left="4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6722E">
      <w:start w:val="1"/>
      <w:numFmt w:val="decimal"/>
      <w:lvlText w:val="%7"/>
      <w:lvlJc w:val="left"/>
      <w:pPr>
        <w:ind w:left="5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326756">
      <w:start w:val="1"/>
      <w:numFmt w:val="lowerLetter"/>
      <w:lvlText w:val="%8"/>
      <w:lvlJc w:val="left"/>
      <w:pPr>
        <w:ind w:left="6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0419A0">
      <w:start w:val="1"/>
      <w:numFmt w:val="lowerRoman"/>
      <w:lvlText w:val="%9"/>
      <w:lvlJc w:val="left"/>
      <w:pPr>
        <w:ind w:left="6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42768EC"/>
    <w:multiLevelType w:val="hybridMultilevel"/>
    <w:tmpl w:val="09E0489E"/>
    <w:lvl w:ilvl="0" w:tplc="5D8E8E08">
      <w:start w:val="2"/>
      <w:numFmt w:val="decimal"/>
      <w:lvlText w:val="%1."/>
      <w:lvlJc w:val="left"/>
      <w:pPr>
        <w:ind w:left="1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728C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D85C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D285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A816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A2B6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2843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7075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E837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22A0F4F"/>
    <w:multiLevelType w:val="hybridMultilevel"/>
    <w:tmpl w:val="09986DF4"/>
    <w:lvl w:ilvl="0" w:tplc="C4AC7FDE">
      <w:start w:val="1"/>
      <w:numFmt w:val="lowerLetter"/>
      <w:lvlText w:val="%1)"/>
      <w:lvlJc w:val="left"/>
      <w:pPr>
        <w:ind w:left="1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7CA1D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DC24B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FA892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AAB30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BE60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E899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501A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524E3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0"/>
  </w:num>
  <w:num w:numId="3">
    <w:abstractNumId w:val="9"/>
  </w:num>
  <w:num w:numId="4">
    <w:abstractNumId w:val="5"/>
  </w:num>
  <w:num w:numId="5">
    <w:abstractNumId w:val="2"/>
  </w:num>
  <w:num w:numId="6">
    <w:abstractNumId w:val="4"/>
  </w:num>
  <w:num w:numId="7">
    <w:abstractNumId w:val="3"/>
  </w:num>
  <w:num w:numId="8">
    <w:abstractNumId w:val="11"/>
  </w:num>
  <w:num w:numId="9">
    <w:abstractNumId w:val="1"/>
  </w:num>
  <w:num w:numId="10">
    <w:abstractNumId w:val="12"/>
  </w:num>
  <w:num w:numId="11">
    <w:abstractNumId w:val="7"/>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20D"/>
    <w:rsid w:val="00003A54"/>
    <w:rsid w:val="0008464F"/>
    <w:rsid w:val="001C2B75"/>
    <w:rsid w:val="00234A42"/>
    <w:rsid w:val="002400CF"/>
    <w:rsid w:val="00247896"/>
    <w:rsid w:val="002613DB"/>
    <w:rsid w:val="004516EB"/>
    <w:rsid w:val="00510FFA"/>
    <w:rsid w:val="00595A92"/>
    <w:rsid w:val="00643E27"/>
    <w:rsid w:val="007D1671"/>
    <w:rsid w:val="00894C1E"/>
    <w:rsid w:val="008F423D"/>
    <w:rsid w:val="00915590"/>
    <w:rsid w:val="00927AA4"/>
    <w:rsid w:val="009C645B"/>
    <w:rsid w:val="009D0B1C"/>
    <w:rsid w:val="00A2470D"/>
    <w:rsid w:val="00A72D7C"/>
    <w:rsid w:val="00A763D7"/>
    <w:rsid w:val="00A8020D"/>
    <w:rsid w:val="00B91AD8"/>
    <w:rsid w:val="00BB22E8"/>
    <w:rsid w:val="00BB3114"/>
    <w:rsid w:val="00C15FAE"/>
    <w:rsid w:val="00C6420A"/>
    <w:rsid w:val="00CC5388"/>
    <w:rsid w:val="00CF1190"/>
    <w:rsid w:val="00D17EFD"/>
    <w:rsid w:val="00D67166"/>
    <w:rsid w:val="00F818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858AF"/>
  <w15:docId w15:val="{8F0CF193-7F58-47F5-8900-53BE4777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 w:line="248" w:lineRule="auto"/>
      <w:ind w:left="705" w:firstLine="4"/>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0" w:line="265" w:lineRule="auto"/>
      <w:ind w:left="2802" w:hanging="10"/>
      <w:jc w:val="center"/>
      <w:outlineLvl w:val="0"/>
    </w:pPr>
    <w:rPr>
      <w:rFonts w:ascii="Times New Roman" w:eastAsia="Times New Roman" w:hAnsi="Times New Roman" w:cs="Times New Roman"/>
      <w:color w:val="000000"/>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6"/>
    </w:rPr>
  </w:style>
  <w:style w:type="paragraph" w:styleId="Paragrafoelenco">
    <w:name w:val="List Paragraph"/>
    <w:basedOn w:val="Normale"/>
    <w:uiPriority w:val="34"/>
    <w:qFormat/>
    <w:rsid w:val="00A72D7C"/>
    <w:pPr>
      <w:ind w:left="720"/>
      <w:contextualSpacing/>
    </w:pPr>
  </w:style>
  <w:style w:type="paragraph" w:styleId="Testofumetto">
    <w:name w:val="Balloon Text"/>
    <w:basedOn w:val="Normale"/>
    <w:link w:val="TestofumettoCarattere"/>
    <w:uiPriority w:val="99"/>
    <w:semiHidden/>
    <w:unhideWhenUsed/>
    <w:rsid w:val="004516E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16E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3" Type="http://schemas.openxmlformats.org/officeDocument/2006/relationships/settings" Target="settings.xml"/><Relationship Id="rId21" Type="http://schemas.openxmlformats.org/officeDocument/2006/relationships/image" Target="media/image18.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 Type="http://schemas.openxmlformats.org/officeDocument/2006/relationships/styles" Target="styles.xml"/><Relationship Id="rId16" Type="http://schemas.openxmlformats.org/officeDocument/2006/relationships/image" Target="media/image13.jpg"/><Relationship Id="rId20" Type="http://schemas.openxmlformats.org/officeDocument/2006/relationships/image" Target="media/image17.jpg"/><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theme" Target="theme/theme1.xml"/><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fontTable" Target="fontTable.xml"/><Relationship Id="rId10" Type="http://schemas.openxmlformats.org/officeDocument/2006/relationships/image" Target="media/image7.jpg"/><Relationship Id="rId19" Type="http://schemas.openxmlformats.org/officeDocument/2006/relationships/image" Target="media/image16.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3296</Words>
  <Characters>18790</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utente</cp:lastModifiedBy>
  <cp:revision>5</cp:revision>
  <cp:lastPrinted>2022-06-13T13:41:00Z</cp:lastPrinted>
  <dcterms:created xsi:type="dcterms:W3CDTF">2022-11-04T11:17:00Z</dcterms:created>
  <dcterms:modified xsi:type="dcterms:W3CDTF">2022-11-07T08:34:00Z</dcterms:modified>
</cp:coreProperties>
</file>